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C6" w:rsidRDefault="00EE48C6" w:rsidP="003D7B25">
      <w:pPr>
        <w:jc w:val="center"/>
        <w:rPr>
          <w:rFonts w:ascii="Arial" w:hAnsi="Arial" w:cs="Arial"/>
          <w:b/>
          <w:sz w:val="24"/>
          <w:szCs w:val="24"/>
        </w:rPr>
      </w:pPr>
      <w:bookmarkStart w:id="0" w:name="_GoBack"/>
      <w:bookmarkEnd w:id="0"/>
    </w:p>
    <w:p w:rsidR="00783F58" w:rsidRDefault="003D7B25" w:rsidP="003D7B25">
      <w:pPr>
        <w:jc w:val="center"/>
        <w:rPr>
          <w:rFonts w:ascii="Arial" w:hAnsi="Arial" w:cs="Arial"/>
          <w:b/>
          <w:sz w:val="24"/>
          <w:szCs w:val="24"/>
        </w:rPr>
      </w:pPr>
      <w:r>
        <w:rPr>
          <w:rFonts w:ascii="Arial" w:hAnsi="Arial" w:cs="Arial"/>
          <w:b/>
          <w:sz w:val="24"/>
          <w:szCs w:val="24"/>
        </w:rPr>
        <w:t>Informe de Austeridad en el Gasto – I Semestre 2022</w:t>
      </w:r>
    </w:p>
    <w:p w:rsidR="00B246D7" w:rsidRDefault="00B246D7" w:rsidP="003D7B25">
      <w:pPr>
        <w:jc w:val="center"/>
        <w:rPr>
          <w:rFonts w:ascii="Arial" w:hAnsi="Arial" w:cs="Arial"/>
          <w:b/>
          <w:sz w:val="24"/>
          <w:szCs w:val="24"/>
        </w:rPr>
      </w:pPr>
    </w:p>
    <w:p w:rsidR="007D4BBB" w:rsidRPr="00B246D7" w:rsidRDefault="00E630A6" w:rsidP="00B246D7">
      <w:pPr>
        <w:jc w:val="both"/>
        <w:rPr>
          <w:rFonts w:ascii="Arial" w:hAnsi="Arial" w:cs="Arial"/>
          <w:sz w:val="24"/>
          <w:szCs w:val="24"/>
        </w:rPr>
      </w:pPr>
      <w:r>
        <w:rPr>
          <w:rFonts w:ascii="Arial" w:hAnsi="Arial" w:cs="Arial"/>
          <w:sz w:val="24"/>
          <w:szCs w:val="24"/>
        </w:rPr>
        <w:t>E</w:t>
      </w:r>
      <w:r w:rsidR="005B2636">
        <w:rPr>
          <w:rFonts w:ascii="Arial" w:hAnsi="Arial" w:cs="Arial"/>
          <w:sz w:val="24"/>
          <w:szCs w:val="24"/>
        </w:rPr>
        <w:t xml:space="preserve">l presente informe se realiza en </w:t>
      </w:r>
      <w:r>
        <w:rPr>
          <w:rFonts w:ascii="Arial" w:hAnsi="Arial" w:cs="Arial"/>
          <w:sz w:val="24"/>
          <w:szCs w:val="24"/>
        </w:rPr>
        <w:t xml:space="preserve">cumplimiento al </w:t>
      </w:r>
      <w:r w:rsidR="00B246D7" w:rsidRPr="00B246D7">
        <w:rPr>
          <w:rFonts w:ascii="Arial" w:hAnsi="Arial" w:cs="Arial"/>
          <w:sz w:val="24"/>
          <w:szCs w:val="24"/>
        </w:rPr>
        <w:t>artículo 19 de la Ley 2155 de 2021 en el cual se establece que el Gobierno Nacional reglamentará anualmente mediante decreto un Plan de Austeridad del Gasto para los órganos que hacen parte del Presupuesto General de la Nación</w:t>
      </w:r>
      <w:r w:rsidR="005B2636">
        <w:rPr>
          <w:rFonts w:ascii="Arial" w:hAnsi="Arial" w:cs="Arial"/>
          <w:sz w:val="24"/>
          <w:szCs w:val="24"/>
        </w:rPr>
        <w:t xml:space="preserve">, y ordena a </w:t>
      </w:r>
      <w:r>
        <w:rPr>
          <w:rFonts w:ascii="Arial" w:hAnsi="Arial" w:cs="Arial"/>
          <w:sz w:val="24"/>
          <w:szCs w:val="24"/>
        </w:rPr>
        <w:t>d</w:t>
      </w:r>
      <w:r w:rsidR="00B246D7" w:rsidRPr="00B246D7">
        <w:rPr>
          <w:rFonts w:ascii="Arial" w:hAnsi="Arial" w:cs="Arial"/>
          <w:sz w:val="24"/>
          <w:szCs w:val="24"/>
        </w:rPr>
        <w:t>ichos órganos presentar ante el Ministerio de Hacienda y Crédito Público un informe semestral sobre el ahorro en austeridad.</w:t>
      </w:r>
    </w:p>
    <w:p w:rsidR="007D4BBB" w:rsidRPr="00CE5EE8" w:rsidRDefault="007D4BBB" w:rsidP="007D4BBB">
      <w:pPr>
        <w:tabs>
          <w:tab w:val="left" w:pos="429"/>
        </w:tabs>
        <w:spacing w:line="254" w:lineRule="auto"/>
        <w:ind w:right="49"/>
        <w:jc w:val="both"/>
        <w:rPr>
          <w:rFonts w:ascii="Arial" w:eastAsia="Arial" w:hAnsi="Arial" w:cs="Arial"/>
          <w:sz w:val="24"/>
          <w:szCs w:val="24"/>
          <w:lang w:val="es-ES"/>
        </w:rPr>
      </w:pPr>
      <w:r w:rsidRPr="00CE5EE8">
        <w:rPr>
          <w:rFonts w:ascii="Arial" w:eastAsia="Arial" w:hAnsi="Arial" w:cs="Arial"/>
          <w:sz w:val="24"/>
          <w:szCs w:val="24"/>
          <w:lang w:val="es-ES"/>
        </w:rPr>
        <w:t>El Ministerio de Justicia y del Derecho más allá del deber que impone el Plan de Austeridad del Gasto Público</w:t>
      </w:r>
      <w:r w:rsidR="00B246D7">
        <w:rPr>
          <w:rFonts w:ascii="Arial" w:eastAsia="Arial" w:hAnsi="Arial" w:cs="Arial"/>
          <w:sz w:val="24"/>
          <w:szCs w:val="24"/>
          <w:lang w:val="es-ES"/>
        </w:rPr>
        <w:t xml:space="preserve">, </w:t>
      </w:r>
      <w:r w:rsidRPr="00CE5EE8">
        <w:rPr>
          <w:rFonts w:ascii="Arial" w:eastAsia="Arial" w:hAnsi="Arial" w:cs="Arial"/>
          <w:sz w:val="24"/>
          <w:szCs w:val="24"/>
          <w:lang w:val="es-ES"/>
        </w:rPr>
        <w:t>tiene el firme compromiso de continuar implementando acciones que contribuyan con la austeridad del gasto</w:t>
      </w:r>
      <w:r w:rsidR="00082011">
        <w:rPr>
          <w:rFonts w:ascii="Arial" w:eastAsia="Arial" w:hAnsi="Arial" w:cs="Arial"/>
          <w:sz w:val="24"/>
          <w:szCs w:val="24"/>
          <w:lang w:val="es-ES"/>
        </w:rPr>
        <w:t>,</w:t>
      </w:r>
      <w:r w:rsidRPr="00CE5EE8">
        <w:rPr>
          <w:rFonts w:ascii="Arial" w:eastAsia="Arial" w:hAnsi="Arial" w:cs="Arial"/>
          <w:sz w:val="24"/>
          <w:szCs w:val="24"/>
          <w:lang w:val="es-ES"/>
        </w:rPr>
        <w:t xml:space="preserve"> </w:t>
      </w:r>
      <w:r w:rsidR="00082011">
        <w:rPr>
          <w:rFonts w:ascii="Arial" w:eastAsia="Arial" w:hAnsi="Arial" w:cs="Arial"/>
          <w:sz w:val="24"/>
          <w:szCs w:val="24"/>
          <w:lang w:val="es-ES"/>
        </w:rPr>
        <w:t xml:space="preserve">excediendo </w:t>
      </w:r>
      <w:r w:rsidRPr="00CE5EE8">
        <w:rPr>
          <w:rFonts w:ascii="Arial" w:eastAsia="Arial" w:hAnsi="Arial" w:cs="Arial"/>
          <w:sz w:val="24"/>
          <w:szCs w:val="24"/>
          <w:lang w:val="es-ES"/>
        </w:rPr>
        <w:t xml:space="preserve">el cumplimiento de las metas proyectadas por el Gobierno Nacional. </w:t>
      </w:r>
    </w:p>
    <w:p w:rsidR="007D4BBB" w:rsidRDefault="007D4BBB" w:rsidP="007D4BBB">
      <w:pPr>
        <w:tabs>
          <w:tab w:val="left" w:pos="429"/>
          <w:tab w:val="right" w:pos="8685"/>
        </w:tabs>
        <w:spacing w:line="254" w:lineRule="auto"/>
        <w:ind w:right="153"/>
        <w:jc w:val="both"/>
        <w:rPr>
          <w:rFonts w:ascii="Arial" w:hAnsi="Arial" w:cs="Arial"/>
          <w:sz w:val="24"/>
          <w:szCs w:val="24"/>
        </w:rPr>
      </w:pPr>
      <w:r w:rsidRPr="00CE5EE8">
        <w:rPr>
          <w:rFonts w:ascii="Arial" w:eastAsia="Arial" w:hAnsi="Arial" w:cs="Arial"/>
          <w:sz w:val="24"/>
          <w:szCs w:val="24"/>
          <w:lang w:val="es-ES"/>
        </w:rPr>
        <w:t xml:space="preserve">Dentro de las metas establecidas por la Entidad se encuentra la contención, disminución </w:t>
      </w:r>
      <w:r w:rsidRPr="00CE5EE8">
        <w:rPr>
          <w:rFonts w:ascii="Arial" w:hAnsi="Arial" w:cs="Arial"/>
          <w:sz w:val="24"/>
          <w:szCs w:val="24"/>
        </w:rPr>
        <w:t>y/o reducción en las siguientes categorías de austeridad:</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Horas Extras y Vacaciones</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Mantenimiento de Bienes Inmuebles, Cambio de Sede y Adquisición de Bienes Muebles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Suministro de Tiquetes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Reconocimiento de Viáticos</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Comisiones de Estudios y Servicios</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Eventos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Esquemas de Seguridad</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Vehículos Oficiales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Ahorro en Publicidad Estatal</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Papelería y Telefonía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Suscripción a Periódicos y Revistas, Publicaciones y Bases de Datos ---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Sostenibilidad Ambiental </w:t>
      </w:r>
    </w:p>
    <w:p w:rsidR="007D4BBB" w:rsidRDefault="007D4BBB" w:rsidP="007D4BBB">
      <w:pPr>
        <w:pStyle w:val="Prrafodelista"/>
        <w:tabs>
          <w:tab w:val="left" w:pos="429"/>
          <w:tab w:val="right" w:pos="8685"/>
        </w:tabs>
        <w:spacing w:line="240" w:lineRule="auto"/>
        <w:ind w:left="714" w:right="153"/>
        <w:jc w:val="both"/>
        <w:rPr>
          <w:rFonts w:ascii="Arial" w:hAnsi="Arial" w:cs="Arial"/>
          <w:sz w:val="24"/>
          <w:szCs w:val="24"/>
        </w:rPr>
      </w:pPr>
    </w:p>
    <w:p w:rsidR="00EE48C6" w:rsidRPr="00CE5EE8" w:rsidRDefault="00EE48C6" w:rsidP="007D4BBB">
      <w:pPr>
        <w:pStyle w:val="Prrafodelista"/>
        <w:tabs>
          <w:tab w:val="left" w:pos="429"/>
          <w:tab w:val="right" w:pos="8685"/>
        </w:tabs>
        <w:spacing w:line="240" w:lineRule="auto"/>
        <w:ind w:left="714" w:right="153"/>
        <w:jc w:val="both"/>
        <w:rPr>
          <w:rFonts w:ascii="Arial" w:hAnsi="Arial" w:cs="Arial"/>
          <w:sz w:val="24"/>
          <w:szCs w:val="24"/>
        </w:rPr>
      </w:pPr>
    </w:p>
    <w:p w:rsidR="007D4BBB" w:rsidRDefault="007D4BBB" w:rsidP="007D4BBB">
      <w:pPr>
        <w:tabs>
          <w:tab w:val="left" w:pos="429"/>
        </w:tabs>
        <w:spacing w:line="254" w:lineRule="auto"/>
        <w:ind w:right="153"/>
        <w:jc w:val="both"/>
        <w:rPr>
          <w:rFonts w:ascii="Arial" w:eastAsia="Arial" w:hAnsi="Arial" w:cs="Arial"/>
          <w:b/>
          <w:bCs/>
          <w:sz w:val="24"/>
          <w:szCs w:val="24"/>
          <w:u w:val="single"/>
          <w:lang w:val="es-ES"/>
        </w:rPr>
      </w:pPr>
      <w:r w:rsidRPr="00CE5EE8">
        <w:rPr>
          <w:rFonts w:ascii="Arial" w:eastAsia="Arial" w:hAnsi="Arial" w:cs="Arial"/>
          <w:b/>
          <w:bCs/>
          <w:sz w:val="24"/>
          <w:szCs w:val="24"/>
          <w:u w:val="single"/>
          <w:lang w:val="es-ES"/>
        </w:rPr>
        <w:t xml:space="preserve">Gastos de funcionamiento relacionados con las metas de austeridad </w:t>
      </w:r>
    </w:p>
    <w:p w:rsidR="00EE48C6" w:rsidRPr="00CE5EE8" w:rsidRDefault="00EE48C6" w:rsidP="007D4BBB">
      <w:pPr>
        <w:tabs>
          <w:tab w:val="left" w:pos="429"/>
        </w:tabs>
        <w:spacing w:line="254" w:lineRule="auto"/>
        <w:ind w:right="153"/>
        <w:jc w:val="both"/>
        <w:rPr>
          <w:rFonts w:ascii="Arial" w:eastAsia="Arial" w:hAnsi="Arial" w:cs="Arial"/>
          <w:b/>
          <w:bCs/>
          <w:sz w:val="24"/>
          <w:szCs w:val="24"/>
          <w:u w:val="single"/>
          <w:lang w:val="es-ES"/>
        </w:rPr>
      </w:pPr>
    </w:p>
    <w:p w:rsidR="007D4BBB" w:rsidRDefault="007D4BBB" w:rsidP="007D4BBB">
      <w:pPr>
        <w:tabs>
          <w:tab w:val="left" w:pos="429"/>
        </w:tabs>
        <w:spacing w:line="254" w:lineRule="auto"/>
        <w:ind w:right="153"/>
        <w:jc w:val="both"/>
        <w:rPr>
          <w:rFonts w:ascii="Arial" w:eastAsia="Arial" w:hAnsi="Arial" w:cs="Arial"/>
          <w:sz w:val="24"/>
          <w:szCs w:val="24"/>
          <w:lang w:val="es-ES"/>
        </w:rPr>
      </w:pPr>
      <w:r w:rsidRPr="00CE5EE8">
        <w:rPr>
          <w:rFonts w:ascii="Arial" w:eastAsia="Arial" w:hAnsi="Arial" w:cs="Arial"/>
          <w:sz w:val="24"/>
          <w:szCs w:val="24"/>
          <w:lang w:val="es-ES"/>
        </w:rPr>
        <w:t>Los gastos de funcionamiento en los cuales la Entidad ha implementado acciones y continuará adelantándolas en aras de propender por la austeridad del gasto público, comprende:</w:t>
      </w:r>
    </w:p>
    <w:p w:rsidR="007D4BBB" w:rsidRDefault="007D4BBB" w:rsidP="007D4BBB">
      <w:pPr>
        <w:pStyle w:val="paragraph"/>
        <w:widowControl w:val="0"/>
        <w:numPr>
          <w:ilvl w:val="0"/>
          <w:numId w:val="4"/>
        </w:numPr>
        <w:tabs>
          <w:tab w:val="left" w:pos="429"/>
        </w:tabs>
        <w:autoSpaceDE w:val="0"/>
        <w:autoSpaceDN w:val="0"/>
        <w:spacing w:before="166" w:beforeAutospacing="0" w:after="0" w:afterAutospacing="0" w:line="254" w:lineRule="auto"/>
        <w:ind w:right="153"/>
        <w:jc w:val="both"/>
        <w:textAlignment w:val="baseline"/>
        <w:rPr>
          <w:rFonts w:ascii="Arial" w:eastAsia="Arial" w:hAnsi="Arial" w:cs="Arial"/>
          <w:lang w:val="es-ES"/>
        </w:rPr>
      </w:pPr>
      <w:r w:rsidRPr="00167B32">
        <w:rPr>
          <w:rFonts w:ascii="Arial" w:eastAsia="Arial" w:hAnsi="Arial" w:cs="Arial"/>
          <w:lang w:val="es-ES"/>
        </w:rPr>
        <w:t xml:space="preserve">Las horas extras se racionalizan y se ajustan a las estrictamente necesarias y no se acumulan ni se interrumpen vacaciones, salvo en casos muy excepcionales. </w:t>
      </w:r>
    </w:p>
    <w:p w:rsidR="0047279F" w:rsidRPr="0047279F" w:rsidRDefault="0047279F" w:rsidP="0047279F">
      <w:pPr>
        <w:pStyle w:val="Prrafodelista"/>
        <w:spacing w:after="0" w:line="240" w:lineRule="auto"/>
        <w:rPr>
          <w:rFonts w:ascii="Times New Roman" w:eastAsia="Times New Roman" w:hAnsi="Times New Roman" w:cs="Times New Roman"/>
          <w:sz w:val="24"/>
          <w:szCs w:val="24"/>
          <w:lang w:eastAsia="es-CO"/>
        </w:rPr>
      </w:pPr>
    </w:p>
    <w:tbl>
      <w:tblPr>
        <w:tblStyle w:val="Tabladecuadrcula4-nfasis1"/>
        <w:tblW w:w="4936" w:type="dxa"/>
        <w:jc w:val="center"/>
        <w:tblLook w:val="04A0" w:firstRow="1" w:lastRow="0" w:firstColumn="1" w:lastColumn="0" w:noHBand="0" w:noVBand="1"/>
      </w:tblPr>
      <w:tblGrid>
        <w:gridCol w:w="2330"/>
        <w:gridCol w:w="2606"/>
      </w:tblGrid>
      <w:tr w:rsidR="0047279F" w:rsidRPr="0047279F" w:rsidTr="006A5C66">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936" w:type="dxa"/>
            <w:gridSpan w:val="2"/>
            <w:vAlign w:val="center"/>
            <w:hideMark/>
          </w:tcPr>
          <w:p w:rsidR="0047279F" w:rsidRPr="0047279F" w:rsidRDefault="0047279F" w:rsidP="00DC6C97">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lastRenderedPageBreak/>
              <w:t>INDEMNIZACION DE VACACIONES</w:t>
            </w:r>
          </w:p>
        </w:tc>
      </w:tr>
      <w:tr w:rsidR="0047279F" w:rsidRPr="0047279F" w:rsidTr="006A5C66">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rsidR="0047279F" w:rsidRPr="006A5C66" w:rsidRDefault="006A5C66" w:rsidP="00DC6C97">
            <w:pPr>
              <w:jc w:val="center"/>
              <w:rPr>
                <w:rFonts w:ascii="Arial" w:eastAsia="Times New Roman" w:hAnsi="Arial" w:cs="Arial"/>
                <w:color w:val="000000"/>
                <w:sz w:val="20"/>
                <w:szCs w:val="20"/>
                <w:lang w:eastAsia="es-CO"/>
              </w:rPr>
            </w:pPr>
            <w:r w:rsidRPr="006A5C66">
              <w:rPr>
                <w:rFonts w:ascii="Arial" w:eastAsia="Times New Roman" w:hAnsi="Arial" w:cs="Arial"/>
                <w:color w:val="000000"/>
                <w:sz w:val="20"/>
                <w:szCs w:val="20"/>
                <w:lang w:eastAsia="es-CO"/>
              </w:rPr>
              <w:t>Periodo</w:t>
            </w:r>
          </w:p>
        </w:tc>
        <w:tc>
          <w:tcPr>
            <w:tcW w:w="2606" w:type="dxa"/>
            <w:vAlign w:val="center"/>
            <w:hideMark/>
          </w:tcPr>
          <w:p w:rsidR="0047279F" w:rsidRPr="0047279F" w:rsidRDefault="006A5C66" w:rsidP="00DC6C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eastAsia="es-CO"/>
              </w:rPr>
            </w:pPr>
            <w:r>
              <w:rPr>
                <w:rFonts w:ascii="Arial" w:eastAsia="Times New Roman" w:hAnsi="Arial" w:cs="Arial"/>
                <w:b/>
                <w:bCs/>
                <w:color w:val="000000"/>
                <w:sz w:val="20"/>
                <w:szCs w:val="24"/>
                <w:bdr w:val="none" w:sz="0" w:space="0" w:color="auto" w:frame="1"/>
                <w:lang w:eastAsia="es-CO"/>
              </w:rPr>
              <w:t>Número de F</w:t>
            </w:r>
            <w:r w:rsidR="0047279F" w:rsidRPr="0047279F">
              <w:rPr>
                <w:rFonts w:ascii="Arial" w:eastAsia="Times New Roman" w:hAnsi="Arial" w:cs="Arial"/>
                <w:b/>
                <w:bCs/>
                <w:color w:val="000000"/>
                <w:sz w:val="20"/>
                <w:szCs w:val="24"/>
                <w:bdr w:val="none" w:sz="0" w:space="0" w:color="auto" w:frame="1"/>
                <w:lang w:eastAsia="es-CO"/>
              </w:rPr>
              <w:t>uncionarios</w:t>
            </w:r>
          </w:p>
        </w:tc>
      </w:tr>
      <w:tr w:rsidR="0047279F" w:rsidRPr="0047279F" w:rsidTr="006A5C66">
        <w:trPr>
          <w:trHeight w:val="280"/>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rsidR="0047279F" w:rsidRPr="0047279F" w:rsidRDefault="006A5C66" w:rsidP="00DC6C97">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1er semestre de 2021</w:t>
            </w:r>
          </w:p>
        </w:tc>
        <w:tc>
          <w:tcPr>
            <w:tcW w:w="2606" w:type="dxa"/>
            <w:vAlign w:val="center"/>
            <w:hideMark/>
          </w:tcPr>
          <w:p w:rsidR="0047279F" w:rsidRPr="0047279F" w:rsidRDefault="0047279F" w:rsidP="00DC6C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es-CO"/>
              </w:rPr>
            </w:pPr>
            <w:r w:rsidRPr="0047279F">
              <w:rPr>
                <w:rFonts w:ascii="Arial" w:eastAsia="Times New Roman" w:hAnsi="Arial" w:cs="Arial"/>
                <w:b/>
                <w:bCs/>
                <w:color w:val="000000"/>
                <w:sz w:val="20"/>
                <w:szCs w:val="24"/>
                <w:bdr w:val="none" w:sz="0" w:space="0" w:color="auto" w:frame="1"/>
                <w:lang w:eastAsia="es-CO"/>
              </w:rPr>
              <w:t>36</w:t>
            </w:r>
          </w:p>
        </w:tc>
      </w:tr>
      <w:tr w:rsidR="0047279F" w:rsidRPr="0047279F" w:rsidTr="006A5C66">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rsidR="0047279F" w:rsidRPr="0047279F" w:rsidRDefault="0047279F" w:rsidP="006A5C66">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w:t>
            </w:r>
            <w:r w:rsidR="006A5C66">
              <w:rPr>
                <w:rFonts w:ascii="Arial" w:eastAsia="Times New Roman" w:hAnsi="Arial" w:cs="Arial"/>
                <w:color w:val="000000"/>
                <w:sz w:val="20"/>
                <w:szCs w:val="24"/>
                <w:bdr w:val="none" w:sz="0" w:space="0" w:color="auto" w:frame="1"/>
                <w:lang w:eastAsia="es-CO"/>
              </w:rPr>
              <w:t>er</w:t>
            </w:r>
            <w:r w:rsidRPr="0047279F">
              <w:rPr>
                <w:rFonts w:ascii="Arial" w:eastAsia="Times New Roman" w:hAnsi="Arial" w:cs="Arial"/>
                <w:color w:val="000000"/>
                <w:sz w:val="20"/>
                <w:szCs w:val="24"/>
                <w:bdr w:val="none" w:sz="0" w:space="0" w:color="auto" w:frame="1"/>
                <w:lang w:eastAsia="es-CO"/>
              </w:rPr>
              <w:t xml:space="preserve"> semestre de 2022</w:t>
            </w:r>
          </w:p>
        </w:tc>
        <w:tc>
          <w:tcPr>
            <w:tcW w:w="2606" w:type="dxa"/>
            <w:vAlign w:val="center"/>
          </w:tcPr>
          <w:p w:rsidR="0047279F" w:rsidRPr="006A5C66" w:rsidRDefault="006A5C66" w:rsidP="00DC6C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lang w:eastAsia="es-CO"/>
              </w:rPr>
            </w:pPr>
            <w:r w:rsidRPr="006A5C66">
              <w:rPr>
                <w:rFonts w:ascii="Arial" w:eastAsia="Times New Roman" w:hAnsi="Arial" w:cs="Arial"/>
                <w:b/>
                <w:bCs/>
                <w:color w:val="000000"/>
                <w:sz w:val="20"/>
                <w:lang w:eastAsia="es-CO"/>
              </w:rPr>
              <w:t>15</w:t>
            </w:r>
          </w:p>
        </w:tc>
      </w:tr>
    </w:tbl>
    <w:p w:rsidR="0047279F" w:rsidRPr="0047279F" w:rsidRDefault="0047279F" w:rsidP="0047279F">
      <w:pPr>
        <w:pStyle w:val="paragraph"/>
        <w:widowControl w:val="0"/>
        <w:tabs>
          <w:tab w:val="left" w:pos="429"/>
        </w:tabs>
        <w:autoSpaceDE w:val="0"/>
        <w:autoSpaceDN w:val="0"/>
        <w:spacing w:before="166" w:beforeAutospacing="0" w:after="0" w:afterAutospacing="0" w:line="254" w:lineRule="auto"/>
        <w:ind w:left="720" w:right="153"/>
        <w:jc w:val="center"/>
        <w:textAlignment w:val="baseline"/>
        <w:rPr>
          <w:rFonts w:ascii="Arial" w:eastAsia="Arial" w:hAnsi="Arial" w:cs="Arial"/>
          <w:sz w:val="20"/>
          <w:lang w:val="es-ES"/>
        </w:rPr>
      </w:pPr>
    </w:p>
    <w:p w:rsidR="007D4BBB" w:rsidRPr="007262AB" w:rsidRDefault="007D4BBB" w:rsidP="007D4BBB">
      <w:pPr>
        <w:pStyle w:val="Prrafodelista"/>
        <w:numPr>
          <w:ilvl w:val="0"/>
          <w:numId w:val="4"/>
        </w:numPr>
        <w:spacing w:after="0" w:line="240" w:lineRule="auto"/>
        <w:jc w:val="both"/>
        <w:rPr>
          <w:rFonts w:ascii="Arial" w:hAnsi="Arial" w:cs="Arial"/>
          <w:sz w:val="24"/>
          <w:szCs w:val="24"/>
        </w:rPr>
      </w:pPr>
      <w:r w:rsidRPr="00167B32">
        <w:rPr>
          <w:rFonts w:ascii="Arial" w:eastAsia="Arial" w:hAnsi="Arial" w:cs="Arial"/>
          <w:sz w:val="24"/>
          <w:szCs w:val="24"/>
          <w:lang w:val="es-ES"/>
        </w:rPr>
        <w:t>El mantenimiento de bienes inmuebles y adquisición de bienes muebles únicamente se realiza de manera preventiva para garantizar el correcto funcionamiento a fin de no generar un impacto presupuestal a largo plazo y siempre y cuando no se ponga en riesgo la seguridad y/o se afecten las condiciones salud ocupacional de personas. La adquisición de bienes muebles, solo se realiza en casos excepcionales para el cumplimiento del objeto misional de entidades.</w:t>
      </w:r>
    </w:p>
    <w:p w:rsidR="007262AB" w:rsidRDefault="007262AB" w:rsidP="007262AB">
      <w:pPr>
        <w:spacing w:after="0" w:line="240" w:lineRule="auto"/>
        <w:jc w:val="both"/>
        <w:rPr>
          <w:rFonts w:ascii="Arial" w:hAnsi="Arial" w:cs="Arial"/>
          <w:sz w:val="24"/>
          <w:szCs w:val="24"/>
        </w:rPr>
      </w:pPr>
    </w:p>
    <w:p w:rsidR="007262AB" w:rsidRPr="007262AB" w:rsidRDefault="007262AB" w:rsidP="007262AB">
      <w:pPr>
        <w:shd w:val="clear" w:color="auto" w:fill="FFFFFF"/>
        <w:spacing w:after="0" w:line="240" w:lineRule="auto"/>
        <w:jc w:val="both"/>
        <w:textAlignment w:val="baseline"/>
        <w:rPr>
          <w:rFonts w:ascii="Arial" w:hAnsi="Arial" w:cs="Arial"/>
          <w:b/>
          <w:bCs/>
          <w:color w:val="000000"/>
        </w:rPr>
      </w:pPr>
      <w:r w:rsidRPr="007262AB">
        <w:rPr>
          <w:rFonts w:ascii="Arial" w:hAnsi="Arial" w:cs="Arial"/>
          <w:b/>
          <w:bCs/>
          <w:color w:val="000000"/>
        </w:rPr>
        <w:t xml:space="preserve">  </w:t>
      </w:r>
      <w:r>
        <w:rPr>
          <w:rFonts w:ascii="Arial" w:hAnsi="Arial" w:cs="Arial"/>
          <w:b/>
          <w:bCs/>
          <w:color w:val="000000"/>
        </w:rPr>
        <w:tab/>
      </w:r>
      <w:r w:rsidR="006A5C66">
        <w:rPr>
          <w:rFonts w:ascii="Arial" w:hAnsi="Arial" w:cs="Arial"/>
          <w:b/>
          <w:bCs/>
          <w:color w:val="000000"/>
        </w:rPr>
        <w:tab/>
      </w:r>
      <w:r w:rsidRPr="007262AB">
        <w:rPr>
          <w:rFonts w:ascii="Arial" w:hAnsi="Arial" w:cs="Arial"/>
          <w:b/>
          <w:bCs/>
          <w:color w:val="000000"/>
        </w:rPr>
        <w:t>1er semestre 2021:</w:t>
      </w:r>
    </w:p>
    <w:tbl>
      <w:tblPr>
        <w:tblStyle w:val="Tabladecuadrcula4-nfasis1"/>
        <w:tblW w:w="0" w:type="auto"/>
        <w:jc w:val="center"/>
        <w:tblLayout w:type="fixed"/>
        <w:tblLook w:val="04A0" w:firstRow="1" w:lastRow="0" w:firstColumn="1" w:lastColumn="0" w:noHBand="0" w:noVBand="1"/>
      </w:tblPr>
      <w:tblGrid>
        <w:gridCol w:w="4433"/>
        <w:gridCol w:w="1797"/>
      </w:tblGrid>
      <w:tr w:rsidR="007262AB" w:rsidRPr="009A03C7" w:rsidTr="00DC6C97">
        <w:trPr>
          <w:cnfStyle w:val="100000000000" w:firstRow="1" w:lastRow="0" w:firstColumn="0" w:lastColumn="0" w:oddVBand="0" w:evenVBand="0" w:oddHBand="0"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7262AB" w:rsidRPr="009A03C7" w:rsidRDefault="007262AB" w:rsidP="007262AB">
            <w:pPr>
              <w:jc w:val="center"/>
              <w:rPr>
                <w:rFonts w:ascii="Arial" w:hAnsi="Arial" w:cs="Arial"/>
                <w:b w:val="0"/>
                <w:bCs w:val="0"/>
                <w:color w:val="000000"/>
                <w:sz w:val="20"/>
                <w:szCs w:val="20"/>
              </w:rPr>
            </w:pPr>
            <w:r w:rsidRPr="009A03C7">
              <w:rPr>
                <w:rFonts w:ascii="Arial" w:hAnsi="Arial" w:cs="Arial"/>
                <w:color w:val="000000"/>
                <w:sz w:val="20"/>
                <w:szCs w:val="20"/>
              </w:rPr>
              <w:t>NOMBRE</w:t>
            </w:r>
          </w:p>
        </w:tc>
        <w:tc>
          <w:tcPr>
            <w:tcW w:w="1797" w:type="dxa"/>
            <w:hideMark/>
          </w:tcPr>
          <w:p w:rsidR="007262AB" w:rsidRPr="009A03C7" w:rsidRDefault="007262AB" w:rsidP="00726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9A03C7">
              <w:rPr>
                <w:rFonts w:ascii="Arial" w:hAnsi="Arial" w:cs="Arial"/>
                <w:color w:val="000000"/>
                <w:sz w:val="20"/>
                <w:szCs w:val="20"/>
              </w:rPr>
              <w:t>CANTIDAD 2021</w:t>
            </w:r>
          </w:p>
        </w:tc>
      </w:tr>
      <w:tr w:rsidR="00DC6C97" w:rsidRPr="009A03C7" w:rsidTr="00DC6C97">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DISCO DURO 20TB</w:t>
            </w:r>
          </w:p>
        </w:tc>
        <w:tc>
          <w:tcPr>
            <w:tcW w:w="1797"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18</w:t>
            </w:r>
          </w:p>
        </w:tc>
      </w:tr>
      <w:tr w:rsidR="007262AB" w:rsidRPr="009A03C7" w:rsidTr="00DC6C97">
        <w:trPr>
          <w:trHeight w:val="212"/>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SERVIDOR HPE</w:t>
            </w:r>
          </w:p>
        </w:tc>
        <w:tc>
          <w:tcPr>
            <w:tcW w:w="1797"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r w:rsidR="00DC6C97" w:rsidRPr="009A03C7" w:rsidTr="00DC6C97">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TABLEROS EN VIDRIO 5MM 210 X120</w:t>
            </w:r>
          </w:p>
        </w:tc>
        <w:tc>
          <w:tcPr>
            <w:tcW w:w="1797"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r w:rsidR="007262AB" w:rsidRPr="009A03C7" w:rsidTr="00DC6C97">
        <w:trPr>
          <w:trHeight w:val="424"/>
          <w:jc w:val="center"/>
        </w:trPr>
        <w:tc>
          <w:tcPr>
            <w:cnfStyle w:val="001000000000" w:firstRow="0" w:lastRow="0" w:firstColumn="1" w:lastColumn="0" w:oddVBand="0" w:evenVBand="0" w:oddHBand="0" w:evenHBand="0" w:firstRowFirstColumn="0" w:firstRowLastColumn="0" w:lastRowFirstColumn="0" w:lastRowLastColumn="0"/>
            <w:tcW w:w="4433" w:type="dxa"/>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CASCOS LS2 320 INTEGRAL CERTIFICADO</w:t>
            </w:r>
            <w:r w:rsidRPr="009A03C7">
              <w:rPr>
                <w:rFonts w:ascii="Arial" w:hAnsi="Arial" w:cs="Arial"/>
                <w:color w:val="000000"/>
                <w:sz w:val="20"/>
                <w:szCs w:val="20"/>
              </w:rPr>
              <w:br/>
              <w:t>TALLA S-XL</w:t>
            </w:r>
          </w:p>
        </w:tc>
        <w:tc>
          <w:tcPr>
            <w:tcW w:w="1797"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7</w:t>
            </w:r>
          </w:p>
        </w:tc>
      </w:tr>
      <w:tr w:rsidR="00DC6C97" w:rsidRPr="009A03C7" w:rsidTr="00012ECD">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433" w:type="dxa"/>
            <w:vAlign w:val="center"/>
            <w:hideMark/>
          </w:tcPr>
          <w:p w:rsidR="007262AB" w:rsidRPr="009A03C7" w:rsidRDefault="007262AB" w:rsidP="00012ECD">
            <w:pPr>
              <w:jc w:val="center"/>
              <w:rPr>
                <w:rFonts w:ascii="Arial" w:hAnsi="Arial" w:cs="Arial"/>
                <w:color w:val="000000"/>
                <w:sz w:val="20"/>
                <w:szCs w:val="20"/>
              </w:rPr>
            </w:pPr>
            <w:r w:rsidRPr="009A03C7">
              <w:rPr>
                <w:rFonts w:ascii="Arial" w:hAnsi="Arial" w:cs="Arial"/>
                <w:color w:val="000000"/>
                <w:sz w:val="20"/>
                <w:szCs w:val="20"/>
              </w:rPr>
              <w:t>PUERTA FABRICADA EN VIDRIO</w:t>
            </w:r>
          </w:p>
        </w:tc>
        <w:tc>
          <w:tcPr>
            <w:tcW w:w="1797" w:type="dxa"/>
            <w:noWrap/>
            <w:vAlign w:val="center"/>
            <w:hideMark/>
          </w:tcPr>
          <w:p w:rsidR="007262AB" w:rsidRPr="009A03C7" w:rsidRDefault="007262AB" w:rsidP="00012EC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r w:rsidR="007262AB" w:rsidRPr="009A03C7" w:rsidTr="00DC6C97">
        <w:trPr>
          <w:trHeight w:val="212"/>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CAMA PLANA A3 PARA ESCANER KODAK</w:t>
            </w:r>
          </w:p>
        </w:tc>
        <w:tc>
          <w:tcPr>
            <w:tcW w:w="1797"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r w:rsidR="00DC6C97" w:rsidRPr="009A03C7" w:rsidTr="00DC6C97">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ESCANER KODAK S3100</w:t>
            </w:r>
          </w:p>
        </w:tc>
        <w:tc>
          <w:tcPr>
            <w:tcW w:w="1797"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bl>
    <w:p w:rsidR="007262AB" w:rsidRPr="009A03C7" w:rsidRDefault="007262AB" w:rsidP="007262AB">
      <w:pPr>
        <w:shd w:val="clear" w:color="auto" w:fill="FFFFFF"/>
        <w:jc w:val="both"/>
        <w:textAlignment w:val="baseline"/>
        <w:rPr>
          <w:rFonts w:ascii="Arial" w:hAnsi="Arial" w:cs="Arial"/>
          <w:b/>
          <w:bCs/>
          <w:color w:val="000000"/>
        </w:rPr>
      </w:pPr>
    </w:p>
    <w:p w:rsidR="007262AB" w:rsidRPr="009A03C7" w:rsidRDefault="007262AB" w:rsidP="006A5C66">
      <w:pPr>
        <w:shd w:val="clear" w:color="auto" w:fill="FFFFFF"/>
        <w:spacing w:after="0" w:line="240" w:lineRule="auto"/>
        <w:ind w:left="708" w:firstLine="708"/>
        <w:jc w:val="both"/>
        <w:textAlignment w:val="baseline"/>
        <w:rPr>
          <w:rFonts w:ascii="Arial" w:hAnsi="Arial" w:cs="Arial"/>
          <w:b/>
          <w:bCs/>
          <w:color w:val="000000"/>
        </w:rPr>
      </w:pPr>
      <w:r w:rsidRPr="007262AB">
        <w:rPr>
          <w:rFonts w:ascii="Arial" w:hAnsi="Arial" w:cs="Arial"/>
          <w:b/>
          <w:bCs/>
          <w:color w:val="000000"/>
        </w:rPr>
        <w:t>1er semestre 2022:</w:t>
      </w:r>
    </w:p>
    <w:tbl>
      <w:tblPr>
        <w:tblStyle w:val="Tabladecuadrcula4-nfasis1"/>
        <w:tblW w:w="6409" w:type="dxa"/>
        <w:jc w:val="center"/>
        <w:tblLook w:val="04A0" w:firstRow="1" w:lastRow="0" w:firstColumn="1" w:lastColumn="0" w:noHBand="0" w:noVBand="1"/>
      </w:tblPr>
      <w:tblGrid>
        <w:gridCol w:w="4536"/>
        <w:gridCol w:w="1873"/>
      </w:tblGrid>
      <w:tr w:rsidR="007262AB" w:rsidRPr="009A03C7" w:rsidTr="00DC6C97">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rsidR="007262AB" w:rsidRPr="009A03C7" w:rsidRDefault="007262AB" w:rsidP="007262AB">
            <w:pPr>
              <w:jc w:val="center"/>
              <w:rPr>
                <w:rFonts w:ascii="Arial" w:hAnsi="Arial" w:cs="Arial"/>
                <w:b w:val="0"/>
                <w:bCs w:val="0"/>
                <w:color w:val="000000"/>
                <w:sz w:val="20"/>
                <w:szCs w:val="20"/>
              </w:rPr>
            </w:pPr>
            <w:r w:rsidRPr="009A03C7">
              <w:rPr>
                <w:rFonts w:ascii="Arial" w:hAnsi="Arial" w:cs="Arial"/>
                <w:color w:val="000000"/>
                <w:sz w:val="20"/>
                <w:szCs w:val="20"/>
              </w:rPr>
              <w:t>NOMBRE</w:t>
            </w:r>
          </w:p>
        </w:tc>
        <w:tc>
          <w:tcPr>
            <w:tcW w:w="1873" w:type="dxa"/>
            <w:hideMark/>
          </w:tcPr>
          <w:p w:rsidR="007262AB" w:rsidRPr="009A03C7" w:rsidRDefault="007262AB" w:rsidP="00726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9A03C7">
              <w:rPr>
                <w:rFonts w:ascii="Arial" w:hAnsi="Arial" w:cs="Arial"/>
                <w:color w:val="000000"/>
                <w:sz w:val="20"/>
                <w:szCs w:val="20"/>
              </w:rPr>
              <w:t>CANTIDAD 2022</w:t>
            </w:r>
          </w:p>
        </w:tc>
      </w:tr>
      <w:tr w:rsidR="007262AB" w:rsidRPr="009A03C7" w:rsidTr="00DC6C97">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MALETIN TIPO MORRAL PARA COMPUTADOR PORTATIL</w:t>
            </w:r>
          </w:p>
        </w:tc>
        <w:tc>
          <w:tcPr>
            <w:tcW w:w="1873"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19</w:t>
            </w:r>
          </w:p>
        </w:tc>
      </w:tr>
      <w:tr w:rsidR="007262AB" w:rsidRPr="009A03C7" w:rsidTr="00DC6C97">
        <w:trPr>
          <w:trHeight w:val="451"/>
          <w:jc w:val="center"/>
        </w:trPr>
        <w:tc>
          <w:tcPr>
            <w:cnfStyle w:val="001000000000" w:firstRow="0" w:lastRow="0" w:firstColumn="1" w:lastColumn="0" w:oddVBand="0" w:evenVBand="0" w:oddHBand="0" w:evenHBand="0" w:firstRowFirstColumn="0" w:firstRowLastColumn="0" w:lastRowFirstColumn="0" w:lastRowLastColumn="0"/>
            <w:tcW w:w="4536" w:type="dxa"/>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COMPUTADOR PORTATIL DELL INSPIRON 3501 SSD256 16 GB.+ Componente</w:t>
            </w:r>
            <w:r w:rsidRPr="009A03C7">
              <w:rPr>
                <w:rFonts w:ascii="Arial" w:hAnsi="Arial" w:cs="Arial"/>
                <w:color w:val="000000"/>
                <w:sz w:val="20"/>
                <w:szCs w:val="20"/>
              </w:rPr>
              <w:br/>
              <w:t>crecimiento de memoria al doble</w:t>
            </w:r>
          </w:p>
        </w:tc>
        <w:tc>
          <w:tcPr>
            <w:tcW w:w="1873"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19</w:t>
            </w:r>
          </w:p>
        </w:tc>
      </w:tr>
      <w:tr w:rsidR="007262AB" w:rsidRPr="009A03C7" w:rsidTr="00DC6C97">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MICROFONOS KALLEY INALAMBRICO X 2 MIC K-MID100</w:t>
            </w:r>
          </w:p>
        </w:tc>
        <w:tc>
          <w:tcPr>
            <w:tcW w:w="1873"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r w:rsidR="007262AB" w:rsidRPr="009A03C7" w:rsidTr="00DC6C97">
        <w:trPr>
          <w:trHeight w:val="211"/>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COMPUTADOR COMPUMAX SATURNO R-Z3-0033</w:t>
            </w:r>
          </w:p>
        </w:tc>
        <w:tc>
          <w:tcPr>
            <w:tcW w:w="1873"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195</w:t>
            </w:r>
          </w:p>
        </w:tc>
      </w:tr>
      <w:tr w:rsidR="007262AB" w:rsidRPr="009A03C7" w:rsidTr="00DC6C97">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TECLADO Y MOUSE COMPUMAX ML-404M+ML-383</w:t>
            </w:r>
          </w:p>
        </w:tc>
        <w:tc>
          <w:tcPr>
            <w:tcW w:w="1873"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195</w:t>
            </w:r>
          </w:p>
        </w:tc>
      </w:tr>
      <w:tr w:rsidR="007262AB" w:rsidRPr="009A03C7" w:rsidTr="00DC6C97">
        <w:trPr>
          <w:trHeight w:val="903"/>
          <w:jc w:val="center"/>
        </w:trPr>
        <w:tc>
          <w:tcPr>
            <w:cnfStyle w:val="001000000000" w:firstRow="0" w:lastRow="0" w:firstColumn="1" w:lastColumn="0" w:oddVBand="0" w:evenVBand="0" w:oddHBand="0" w:evenHBand="0" w:firstRowFirstColumn="0" w:firstRowLastColumn="0" w:lastRowFirstColumn="0" w:lastRowLastColumn="0"/>
            <w:tcW w:w="4536" w:type="dxa"/>
            <w:hideMark/>
          </w:tcPr>
          <w:p w:rsidR="007262AB" w:rsidRPr="009A03C7" w:rsidRDefault="007262AB" w:rsidP="00012ECD">
            <w:pPr>
              <w:jc w:val="center"/>
              <w:rPr>
                <w:rFonts w:ascii="Arial" w:hAnsi="Arial" w:cs="Arial"/>
                <w:color w:val="000000"/>
                <w:sz w:val="20"/>
                <w:szCs w:val="20"/>
              </w:rPr>
            </w:pPr>
            <w:r w:rsidRPr="009A03C7">
              <w:rPr>
                <w:rFonts w:ascii="Arial" w:hAnsi="Arial" w:cs="Arial"/>
                <w:color w:val="000000"/>
                <w:sz w:val="20"/>
                <w:szCs w:val="20"/>
              </w:rPr>
              <w:t>Equipos raman Rigaku ResQ</w:t>
            </w:r>
            <w:r w:rsidRPr="009A03C7">
              <w:rPr>
                <w:rFonts w:ascii="Arial" w:hAnsi="Arial" w:cs="Arial"/>
                <w:color w:val="000000"/>
                <w:sz w:val="20"/>
                <w:szCs w:val="20"/>
              </w:rPr>
              <w:br/>
              <w:t>(Incluye adaptador de periscopio</w:t>
            </w:r>
            <w:r w:rsidRPr="009A03C7">
              <w:rPr>
                <w:rFonts w:ascii="Arial" w:hAnsi="Arial" w:cs="Arial"/>
                <w:color w:val="000000"/>
                <w:sz w:val="20"/>
                <w:szCs w:val="20"/>
              </w:rPr>
              <w:br/>
              <w:t>con soporte ajustable, soporte para</w:t>
            </w:r>
            <w:r w:rsidRPr="009A03C7">
              <w:rPr>
                <w:rFonts w:ascii="Arial" w:hAnsi="Arial" w:cs="Arial"/>
                <w:color w:val="000000"/>
                <w:sz w:val="20"/>
                <w:szCs w:val="20"/>
              </w:rPr>
              <w:br/>
              <w:t>viales de repuesto de progen y  adaptador de botellas)</w:t>
            </w:r>
          </w:p>
        </w:tc>
        <w:tc>
          <w:tcPr>
            <w:tcW w:w="1873"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7</w:t>
            </w:r>
          </w:p>
        </w:tc>
      </w:tr>
      <w:tr w:rsidR="007262AB" w:rsidRPr="009A03C7" w:rsidTr="00DC6C97">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4536" w:type="dxa"/>
            <w:noWrap/>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SERVIDOR TIPO BLADE HPE SY 480 GEN CTO CMPT MDL.</w:t>
            </w:r>
          </w:p>
        </w:tc>
        <w:tc>
          <w:tcPr>
            <w:tcW w:w="1873" w:type="dxa"/>
            <w:noWrap/>
            <w:hideMark/>
          </w:tcPr>
          <w:p w:rsidR="007262AB" w:rsidRPr="009A03C7" w:rsidRDefault="007262AB" w:rsidP="007262A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r w:rsidR="007262AB" w:rsidRPr="009A03C7" w:rsidTr="00DC6C97">
        <w:trPr>
          <w:trHeight w:val="451"/>
          <w:jc w:val="center"/>
        </w:trPr>
        <w:tc>
          <w:tcPr>
            <w:cnfStyle w:val="001000000000" w:firstRow="0" w:lastRow="0" w:firstColumn="1" w:lastColumn="0" w:oddVBand="0" w:evenVBand="0" w:oddHBand="0" w:evenHBand="0" w:firstRowFirstColumn="0" w:firstRowLastColumn="0" w:lastRowFirstColumn="0" w:lastRowLastColumn="0"/>
            <w:tcW w:w="4536" w:type="dxa"/>
            <w:hideMark/>
          </w:tcPr>
          <w:p w:rsidR="007262AB" w:rsidRPr="009A03C7" w:rsidRDefault="007262AB" w:rsidP="007262AB">
            <w:pPr>
              <w:jc w:val="center"/>
              <w:rPr>
                <w:rFonts w:ascii="Arial" w:hAnsi="Arial" w:cs="Arial"/>
                <w:color w:val="000000"/>
                <w:sz w:val="20"/>
                <w:szCs w:val="20"/>
              </w:rPr>
            </w:pPr>
            <w:r w:rsidRPr="009A03C7">
              <w:rPr>
                <w:rFonts w:ascii="Arial" w:hAnsi="Arial" w:cs="Arial"/>
                <w:color w:val="000000"/>
                <w:sz w:val="20"/>
                <w:szCs w:val="20"/>
              </w:rPr>
              <w:t>SISTEMA DE VIDEOCONFERENCIA CISCO ROOM KIT MINI Room kit mini- Room navigator tablet"- soporte  cables y conectores"</w:t>
            </w:r>
          </w:p>
        </w:tc>
        <w:tc>
          <w:tcPr>
            <w:tcW w:w="1873" w:type="dxa"/>
            <w:noWrap/>
            <w:hideMark/>
          </w:tcPr>
          <w:p w:rsidR="007262AB" w:rsidRPr="009A03C7" w:rsidRDefault="007262AB" w:rsidP="007262A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A03C7">
              <w:rPr>
                <w:rFonts w:ascii="Arial" w:hAnsi="Arial" w:cs="Arial"/>
                <w:color w:val="000000"/>
                <w:sz w:val="20"/>
                <w:szCs w:val="20"/>
              </w:rPr>
              <w:t>1</w:t>
            </w:r>
          </w:p>
        </w:tc>
      </w:tr>
    </w:tbl>
    <w:p w:rsidR="007D4BBB" w:rsidRDefault="007D4BBB" w:rsidP="007D4BBB">
      <w:pPr>
        <w:pStyle w:val="Prrafodelista"/>
        <w:widowControl w:val="0"/>
        <w:numPr>
          <w:ilvl w:val="0"/>
          <w:numId w:val="4"/>
        </w:numPr>
        <w:tabs>
          <w:tab w:val="left" w:pos="429"/>
        </w:tabs>
        <w:autoSpaceDE w:val="0"/>
        <w:autoSpaceDN w:val="0"/>
        <w:spacing w:before="166" w:after="0" w:line="254" w:lineRule="auto"/>
        <w:ind w:right="153"/>
        <w:jc w:val="both"/>
        <w:rPr>
          <w:rFonts w:ascii="Arial" w:eastAsia="Arial" w:hAnsi="Arial" w:cs="Arial"/>
          <w:sz w:val="24"/>
          <w:szCs w:val="24"/>
          <w:lang w:val="es-ES"/>
        </w:rPr>
      </w:pPr>
      <w:r w:rsidRPr="00167B32">
        <w:rPr>
          <w:rFonts w:ascii="Arial" w:eastAsia="Arial" w:hAnsi="Arial" w:cs="Arial"/>
          <w:sz w:val="24"/>
          <w:szCs w:val="24"/>
          <w:lang w:val="es-ES"/>
        </w:rPr>
        <w:lastRenderedPageBreak/>
        <w:t>El suministro de tiquetes. La adquisición de tiquetes se realiza en clase económica, salvo en casos excepcionales debidamente justificados</w:t>
      </w:r>
      <w:r w:rsidR="00D9790F">
        <w:rPr>
          <w:rFonts w:ascii="Arial" w:eastAsia="Arial" w:hAnsi="Arial" w:cs="Arial"/>
          <w:sz w:val="24"/>
          <w:szCs w:val="24"/>
          <w:lang w:val="es-ES"/>
        </w:rPr>
        <w:t>.</w:t>
      </w:r>
      <w:r w:rsidRPr="00167B32">
        <w:rPr>
          <w:rFonts w:ascii="Arial" w:eastAsia="Arial" w:hAnsi="Arial" w:cs="Arial"/>
          <w:sz w:val="24"/>
          <w:szCs w:val="24"/>
          <w:lang w:val="es-ES"/>
        </w:rPr>
        <w:t xml:space="preserve"> El procedimiento del MJD establece la radicación de comisiones de viaje con tiempo suficiente, con el fin de acceder a tarifas más favorables. El contrato para suministro de tiquetes, establece el otorgamiento de descuentos por parte de las aerolíneas, gestionados a través del operador de tiquetes.</w:t>
      </w:r>
    </w:p>
    <w:p w:rsidR="004A1955" w:rsidRDefault="004A1955" w:rsidP="004A1955">
      <w:pPr>
        <w:pStyle w:val="Prrafodelista"/>
        <w:widowControl w:val="0"/>
        <w:tabs>
          <w:tab w:val="left" w:pos="429"/>
        </w:tabs>
        <w:autoSpaceDE w:val="0"/>
        <w:autoSpaceDN w:val="0"/>
        <w:spacing w:before="166" w:after="0" w:line="254" w:lineRule="auto"/>
        <w:ind w:right="153"/>
        <w:jc w:val="both"/>
        <w:rPr>
          <w:rFonts w:ascii="Arial" w:eastAsia="Arial" w:hAnsi="Arial" w:cs="Arial"/>
          <w:sz w:val="24"/>
          <w:szCs w:val="24"/>
          <w:lang w:val="es-ES"/>
        </w:rPr>
      </w:pPr>
    </w:p>
    <w:tbl>
      <w:tblPr>
        <w:tblStyle w:val="Tabladecuadrcula4-nfasis1"/>
        <w:tblW w:w="4607" w:type="dxa"/>
        <w:jc w:val="center"/>
        <w:tblLook w:val="04A0" w:firstRow="1" w:lastRow="0" w:firstColumn="1" w:lastColumn="0" w:noHBand="0" w:noVBand="1"/>
      </w:tblPr>
      <w:tblGrid>
        <w:gridCol w:w="2405"/>
        <w:gridCol w:w="2202"/>
      </w:tblGrid>
      <w:tr w:rsidR="004A1955" w:rsidRPr="0047279F" w:rsidTr="00012ECD">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4A1955" w:rsidRPr="0047279F" w:rsidRDefault="004A1955" w:rsidP="00EE201A">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Tiquetes adquiridos en el periodo</w:t>
            </w:r>
          </w:p>
        </w:tc>
      </w:tr>
      <w:tr w:rsidR="004A1955" w:rsidRPr="0047279F" w:rsidTr="00012ECD">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4A1955" w:rsidRPr="0047279F" w:rsidRDefault="004A1955"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1er semestre de 2021</w:t>
            </w:r>
          </w:p>
        </w:tc>
        <w:tc>
          <w:tcPr>
            <w:tcW w:w="2202" w:type="dxa"/>
            <w:vAlign w:val="center"/>
          </w:tcPr>
          <w:p w:rsidR="004A1955" w:rsidRPr="0047279F" w:rsidRDefault="004A1955" w:rsidP="00EE20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sidRPr="004A1955">
              <w:rPr>
                <w:rFonts w:ascii="Arial" w:eastAsia="Times New Roman" w:hAnsi="Arial" w:cs="Arial"/>
                <w:b/>
                <w:bCs/>
                <w:color w:val="000000"/>
                <w:sz w:val="20"/>
                <w:lang w:eastAsia="es-CO"/>
              </w:rPr>
              <w:t>149</w:t>
            </w:r>
          </w:p>
        </w:tc>
      </w:tr>
      <w:tr w:rsidR="004A1955" w:rsidRPr="0047279F" w:rsidTr="00012ECD">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4A1955" w:rsidRPr="0047279F" w:rsidRDefault="004A1955" w:rsidP="004A1955">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w:t>
            </w:r>
            <w:r>
              <w:rPr>
                <w:rFonts w:ascii="Arial" w:eastAsia="Times New Roman" w:hAnsi="Arial" w:cs="Arial"/>
                <w:color w:val="000000"/>
                <w:sz w:val="20"/>
                <w:szCs w:val="24"/>
                <w:bdr w:val="none" w:sz="0" w:space="0" w:color="auto" w:frame="1"/>
                <w:lang w:eastAsia="es-CO"/>
              </w:rPr>
              <w:t>er</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4A1955" w:rsidRPr="0047279F" w:rsidRDefault="004A1955" w:rsidP="00EE20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sidRPr="004A1955">
              <w:rPr>
                <w:rFonts w:ascii="Arial" w:eastAsia="Times New Roman" w:hAnsi="Arial" w:cs="Arial"/>
                <w:b/>
                <w:bCs/>
                <w:color w:val="000000"/>
                <w:sz w:val="20"/>
                <w:lang w:eastAsia="es-CO"/>
              </w:rPr>
              <w:t>707</w:t>
            </w:r>
          </w:p>
        </w:tc>
      </w:tr>
    </w:tbl>
    <w:p w:rsidR="007D4BBB" w:rsidRPr="00167B32" w:rsidRDefault="007D4BBB" w:rsidP="007D4BBB">
      <w:pPr>
        <w:pStyle w:val="Prrafodelista"/>
        <w:rPr>
          <w:rFonts w:ascii="Arial" w:eastAsia="Arial" w:hAnsi="Arial" w:cs="Arial"/>
          <w:sz w:val="24"/>
          <w:szCs w:val="24"/>
          <w:lang w:val="es-ES"/>
        </w:rPr>
      </w:pPr>
    </w:p>
    <w:p w:rsidR="007D4BBB" w:rsidRDefault="007D4BBB" w:rsidP="007D4BBB">
      <w:pPr>
        <w:pStyle w:val="Prrafodelista"/>
        <w:widowControl w:val="0"/>
        <w:numPr>
          <w:ilvl w:val="0"/>
          <w:numId w:val="4"/>
        </w:numPr>
        <w:tabs>
          <w:tab w:val="left" w:pos="429"/>
        </w:tabs>
        <w:autoSpaceDE w:val="0"/>
        <w:autoSpaceDN w:val="0"/>
        <w:spacing w:before="166" w:after="0" w:line="254" w:lineRule="auto"/>
        <w:ind w:right="153"/>
        <w:jc w:val="both"/>
        <w:rPr>
          <w:rFonts w:ascii="Arial" w:eastAsia="Arial" w:hAnsi="Arial" w:cs="Arial"/>
          <w:sz w:val="24"/>
          <w:szCs w:val="24"/>
          <w:lang w:val="es-ES"/>
        </w:rPr>
      </w:pPr>
      <w:r w:rsidRPr="00167B32">
        <w:rPr>
          <w:rFonts w:ascii="Arial" w:eastAsia="Arial" w:hAnsi="Arial" w:cs="Arial"/>
          <w:sz w:val="24"/>
          <w:szCs w:val="24"/>
          <w:lang w:val="es-ES"/>
        </w:rPr>
        <w:t xml:space="preserve">En cuanto a viáticos, para la aprobación de comisiones de viaje se requiere la justificación suficiente, en cuanto a objeto de la comisión y período solicitado.  </w:t>
      </w:r>
    </w:p>
    <w:p w:rsidR="00012ECD" w:rsidRDefault="00012ECD" w:rsidP="00012ECD">
      <w:pPr>
        <w:pStyle w:val="Prrafodelista"/>
        <w:widowControl w:val="0"/>
        <w:tabs>
          <w:tab w:val="left" w:pos="429"/>
        </w:tabs>
        <w:autoSpaceDE w:val="0"/>
        <w:autoSpaceDN w:val="0"/>
        <w:spacing w:before="166" w:after="0" w:line="254" w:lineRule="auto"/>
        <w:ind w:right="153"/>
        <w:jc w:val="both"/>
        <w:rPr>
          <w:rFonts w:ascii="Arial" w:eastAsia="Arial" w:hAnsi="Arial" w:cs="Arial"/>
          <w:sz w:val="24"/>
          <w:szCs w:val="24"/>
          <w:lang w:val="es-ES"/>
        </w:rPr>
      </w:pPr>
    </w:p>
    <w:tbl>
      <w:tblPr>
        <w:tblStyle w:val="Tabladecuadrcula4-nfasis1"/>
        <w:tblW w:w="4607" w:type="dxa"/>
        <w:jc w:val="center"/>
        <w:tblLook w:val="04A0" w:firstRow="1" w:lastRow="0" w:firstColumn="1" w:lastColumn="0" w:noHBand="0" w:noVBand="1"/>
      </w:tblPr>
      <w:tblGrid>
        <w:gridCol w:w="2405"/>
        <w:gridCol w:w="2202"/>
      </w:tblGrid>
      <w:tr w:rsidR="00012ECD"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012ECD" w:rsidRPr="0047279F" w:rsidRDefault="00012ECD" w:rsidP="00012ECD">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Funcionarios con Viáticos en el periodo</w:t>
            </w:r>
          </w:p>
        </w:tc>
      </w:tr>
      <w:tr w:rsidR="00012ECD" w:rsidRPr="0047279F" w:rsidTr="00012ECD">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012ECD" w:rsidRPr="0047279F" w:rsidRDefault="00012ECD"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1er semestre de 2021</w:t>
            </w:r>
          </w:p>
        </w:tc>
        <w:tc>
          <w:tcPr>
            <w:tcW w:w="2202" w:type="dxa"/>
            <w:vAlign w:val="center"/>
          </w:tcPr>
          <w:p w:rsidR="00012ECD" w:rsidRPr="0047279F" w:rsidRDefault="00012ECD" w:rsidP="00EE20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284</w:t>
            </w:r>
          </w:p>
        </w:tc>
      </w:tr>
      <w:tr w:rsidR="00012ECD" w:rsidRPr="0047279F" w:rsidTr="00012ECD">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012ECD" w:rsidRPr="0047279F" w:rsidRDefault="00012ECD"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w:t>
            </w:r>
            <w:r>
              <w:rPr>
                <w:rFonts w:ascii="Arial" w:eastAsia="Times New Roman" w:hAnsi="Arial" w:cs="Arial"/>
                <w:color w:val="000000"/>
                <w:sz w:val="20"/>
                <w:szCs w:val="24"/>
                <w:bdr w:val="none" w:sz="0" w:space="0" w:color="auto" w:frame="1"/>
                <w:lang w:eastAsia="es-CO"/>
              </w:rPr>
              <w:t>er</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012ECD" w:rsidRPr="0047279F" w:rsidRDefault="00012ECD" w:rsidP="00EE20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526</w:t>
            </w:r>
          </w:p>
        </w:tc>
      </w:tr>
    </w:tbl>
    <w:p w:rsidR="007D4BBB" w:rsidRPr="00167B32" w:rsidRDefault="007D4BBB" w:rsidP="007D4BBB">
      <w:pPr>
        <w:pStyle w:val="Prrafodelista"/>
        <w:rPr>
          <w:rFonts w:ascii="Arial" w:eastAsia="Arial" w:hAnsi="Arial" w:cs="Arial"/>
          <w:sz w:val="24"/>
          <w:szCs w:val="24"/>
          <w:lang w:val="es-ES"/>
        </w:rPr>
      </w:pPr>
    </w:p>
    <w:p w:rsidR="007D4BBB" w:rsidRDefault="007D4BBB" w:rsidP="007D4BBB">
      <w:pPr>
        <w:pStyle w:val="Prrafodelista"/>
        <w:numPr>
          <w:ilvl w:val="0"/>
          <w:numId w:val="4"/>
        </w:numPr>
        <w:tabs>
          <w:tab w:val="left" w:pos="429"/>
        </w:tabs>
        <w:spacing w:line="254" w:lineRule="auto"/>
        <w:ind w:right="153"/>
        <w:jc w:val="both"/>
        <w:rPr>
          <w:rFonts w:ascii="Arial" w:hAnsi="Arial" w:cs="Arial"/>
          <w:sz w:val="24"/>
          <w:szCs w:val="24"/>
        </w:rPr>
      </w:pPr>
      <w:r w:rsidRPr="00167B32">
        <w:rPr>
          <w:rFonts w:ascii="Arial" w:hAnsi="Arial" w:cs="Arial"/>
          <w:sz w:val="24"/>
          <w:szCs w:val="24"/>
        </w:rPr>
        <w:t>En los eventos de carácter misional se da preferencia a los eventos virtuales, cuando se trata de eventos presenciales se da prioridad al uso de espacios institucionales.</w:t>
      </w:r>
    </w:p>
    <w:p w:rsidR="00012ECD" w:rsidRDefault="00012ECD" w:rsidP="00012ECD">
      <w:pPr>
        <w:pStyle w:val="Prrafodelista"/>
        <w:tabs>
          <w:tab w:val="left" w:pos="429"/>
        </w:tabs>
        <w:spacing w:line="254" w:lineRule="auto"/>
        <w:ind w:right="153"/>
        <w:jc w:val="both"/>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012ECD"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012ECD" w:rsidRPr="0047279F" w:rsidRDefault="00012ECD" w:rsidP="00012ECD">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Eventos realizados en el periodo</w:t>
            </w:r>
          </w:p>
        </w:tc>
      </w:tr>
      <w:tr w:rsidR="00012ECD" w:rsidRPr="0047279F" w:rsidTr="00EE201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012ECD" w:rsidRPr="0047279F" w:rsidRDefault="00012ECD"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1er semestre de 2021</w:t>
            </w:r>
          </w:p>
        </w:tc>
        <w:tc>
          <w:tcPr>
            <w:tcW w:w="2202" w:type="dxa"/>
            <w:vAlign w:val="center"/>
          </w:tcPr>
          <w:p w:rsidR="00012ECD" w:rsidRPr="0047279F" w:rsidRDefault="00012ECD" w:rsidP="00EE20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r w:rsidR="00012ECD" w:rsidRPr="0047279F" w:rsidTr="003206AD">
        <w:trPr>
          <w:trHeight w:val="439"/>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012ECD" w:rsidRPr="0047279F" w:rsidRDefault="00012ECD" w:rsidP="003206AD">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w:t>
            </w:r>
            <w:r>
              <w:rPr>
                <w:rFonts w:ascii="Arial" w:eastAsia="Times New Roman" w:hAnsi="Arial" w:cs="Arial"/>
                <w:color w:val="000000"/>
                <w:sz w:val="20"/>
                <w:szCs w:val="24"/>
                <w:bdr w:val="none" w:sz="0" w:space="0" w:color="auto" w:frame="1"/>
                <w:lang w:eastAsia="es-CO"/>
              </w:rPr>
              <w:t>er</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012ECD" w:rsidRPr="0047279F" w:rsidRDefault="00012ECD" w:rsidP="003206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bl>
    <w:p w:rsidR="00012ECD" w:rsidRPr="00167B32" w:rsidRDefault="00012ECD" w:rsidP="005D4257">
      <w:pPr>
        <w:pStyle w:val="Prrafodelista"/>
        <w:tabs>
          <w:tab w:val="left" w:pos="429"/>
        </w:tabs>
        <w:spacing w:line="254" w:lineRule="auto"/>
        <w:ind w:right="153"/>
        <w:jc w:val="both"/>
        <w:rPr>
          <w:rFonts w:ascii="Arial" w:hAnsi="Arial" w:cs="Arial"/>
          <w:sz w:val="24"/>
          <w:szCs w:val="24"/>
        </w:rPr>
      </w:pPr>
    </w:p>
    <w:p w:rsidR="007D4BBB" w:rsidRPr="00CE5EE8" w:rsidRDefault="007D4BBB" w:rsidP="007D4BBB">
      <w:pPr>
        <w:pStyle w:val="Prrafodelista"/>
        <w:rPr>
          <w:rFonts w:ascii="Arial" w:hAnsi="Arial" w:cs="Arial"/>
          <w:sz w:val="24"/>
          <w:szCs w:val="24"/>
        </w:rPr>
      </w:pPr>
    </w:p>
    <w:p w:rsidR="007D4BBB" w:rsidRPr="00167B32" w:rsidRDefault="007D4BBB" w:rsidP="007D4BBB">
      <w:pPr>
        <w:pStyle w:val="Prrafodelista"/>
        <w:numPr>
          <w:ilvl w:val="0"/>
          <w:numId w:val="4"/>
        </w:numPr>
        <w:tabs>
          <w:tab w:val="left" w:pos="429"/>
        </w:tabs>
        <w:spacing w:line="254" w:lineRule="auto"/>
        <w:ind w:right="153"/>
        <w:jc w:val="both"/>
        <w:rPr>
          <w:rFonts w:ascii="Arial" w:hAnsi="Arial" w:cs="Arial"/>
          <w:sz w:val="24"/>
          <w:szCs w:val="24"/>
        </w:rPr>
      </w:pPr>
      <w:r w:rsidRPr="00167B32">
        <w:rPr>
          <w:rFonts w:ascii="Arial" w:hAnsi="Arial" w:cs="Arial"/>
          <w:sz w:val="24"/>
          <w:szCs w:val="24"/>
        </w:rPr>
        <w:t xml:space="preserve">En cuanto a los esquemas de seguridad, se cuenta con los estrictamente necesarios y se realiza el monitoreo constante a horas extras de dichos esquemas. </w:t>
      </w:r>
    </w:p>
    <w:p w:rsidR="007D4BBB" w:rsidRPr="00167B32" w:rsidRDefault="007D4BBB" w:rsidP="007D4BBB">
      <w:pPr>
        <w:pStyle w:val="Prrafodelista"/>
        <w:rPr>
          <w:rFonts w:ascii="Arial" w:hAnsi="Arial" w:cs="Arial"/>
          <w:sz w:val="24"/>
          <w:szCs w:val="24"/>
        </w:rPr>
      </w:pPr>
    </w:p>
    <w:p w:rsidR="007D4BBB" w:rsidRPr="00EC5B9F" w:rsidRDefault="007D4BBB" w:rsidP="007D4BBB">
      <w:pPr>
        <w:pStyle w:val="Prrafodelista"/>
        <w:numPr>
          <w:ilvl w:val="0"/>
          <w:numId w:val="4"/>
        </w:numPr>
        <w:tabs>
          <w:tab w:val="left" w:pos="429"/>
        </w:tabs>
        <w:spacing w:line="254" w:lineRule="auto"/>
        <w:ind w:right="153"/>
        <w:jc w:val="both"/>
        <w:rPr>
          <w:rFonts w:ascii="Arial" w:hAnsi="Arial" w:cs="Arial"/>
          <w:sz w:val="24"/>
          <w:szCs w:val="24"/>
        </w:rPr>
      </w:pPr>
      <w:r w:rsidRPr="00167B32">
        <w:rPr>
          <w:rFonts w:ascii="Arial" w:eastAsia="Arial" w:hAnsi="Arial" w:cs="Arial"/>
          <w:sz w:val="24"/>
          <w:szCs w:val="24"/>
          <w:lang w:val="es-ES"/>
        </w:rPr>
        <w:t>El Ministerio no adquirirá vehículos para la presente vigencia.</w:t>
      </w:r>
    </w:p>
    <w:p w:rsidR="00EC5B9F" w:rsidRPr="00EC5B9F" w:rsidRDefault="00EC5B9F" w:rsidP="00EC5B9F">
      <w:pPr>
        <w:pStyle w:val="Prrafodelista"/>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EC5B9F"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EC5B9F" w:rsidRPr="0047279F" w:rsidRDefault="00EC5B9F" w:rsidP="00EC5B9F">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Vehículos adquiridos en el periodo</w:t>
            </w:r>
          </w:p>
        </w:tc>
      </w:tr>
      <w:tr w:rsidR="00EC5B9F" w:rsidRPr="0047279F" w:rsidTr="00EE201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EC5B9F" w:rsidRPr="0047279F" w:rsidRDefault="00EC5B9F"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1er semestre de 2021</w:t>
            </w:r>
          </w:p>
        </w:tc>
        <w:tc>
          <w:tcPr>
            <w:tcW w:w="2202" w:type="dxa"/>
            <w:vAlign w:val="center"/>
          </w:tcPr>
          <w:p w:rsidR="00EC5B9F" w:rsidRPr="0047279F" w:rsidRDefault="00EC5B9F" w:rsidP="00EE20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r w:rsidR="00EC5B9F" w:rsidRPr="0047279F" w:rsidTr="00EE201A">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EC5B9F" w:rsidRPr="0047279F" w:rsidRDefault="00EC5B9F"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w:t>
            </w:r>
            <w:r>
              <w:rPr>
                <w:rFonts w:ascii="Arial" w:eastAsia="Times New Roman" w:hAnsi="Arial" w:cs="Arial"/>
                <w:color w:val="000000"/>
                <w:sz w:val="20"/>
                <w:szCs w:val="24"/>
                <w:bdr w:val="none" w:sz="0" w:space="0" w:color="auto" w:frame="1"/>
                <w:lang w:eastAsia="es-CO"/>
              </w:rPr>
              <w:t>er</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EC5B9F" w:rsidRPr="0047279F" w:rsidRDefault="00EC5B9F" w:rsidP="00EE20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bl>
    <w:p w:rsidR="007D4BBB" w:rsidRPr="00167B32" w:rsidRDefault="007D4BBB" w:rsidP="007D4BBB">
      <w:pPr>
        <w:pStyle w:val="Prrafodelista"/>
        <w:numPr>
          <w:ilvl w:val="0"/>
          <w:numId w:val="4"/>
        </w:numPr>
        <w:spacing w:after="0" w:line="240" w:lineRule="auto"/>
        <w:jc w:val="both"/>
        <w:rPr>
          <w:rFonts w:ascii="Arial" w:hAnsi="Arial" w:cs="Arial"/>
          <w:sz w:val="24"/>
          <w:szCs w:val="24"/>
        </w:rPr>
      </w:pPr>
      <w:r w:rsidRPr="00167B32">
        <w:rPr>
          <w:rFonts w:ascii="Arial" w:hAnsi="Arial" w:cs="Arial"/>
          <w:sz w:val="24"/>
          <w:szCs w:val="24"/>
        </w:rPr>
        <w:lastRenderedPageBreak/>
        <w:t>El Ministerio de Justicia y del Derecho no contempla dentro del actual presupuesto recursos para actividades relacionadas con publicidad, las cuales comprenden pautas, material impreso, audiovisual, vallas, pancartas, volantes, comerciales entre otros.</w:t>
      </w:r>
    </w:p>
    <w:p w:rsidR="007D4BBB" w:rsidRDefault="007D4BBB" w:rsidP="007D4BBB">
      <w:pPr>
        <w:pStyle w:val="Prrafodelista"/>
        <w:jc w:val="both"/>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807135"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807135" w:rsidRPr="0047279F" w:rsidRDefault="00807135" w:rsidP="00807135">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Campañas realizadas en el periodo</w:t>
            </w:r>
          </w:p>
        </w:tc>
      </w:tr>
      <w:tr w:rsidR="00807135" w:rsidRPr="0047279F" w:rsidTr="00EE201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807135" w:rsidRPr="0047279F" w:rsidRDefault="00807135"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1er semestre de 2021</w:t>
            </w:r>
          </w:p>
        </w:tc>
        <w:tc>
          <w:tcPr>
            <w:tcW w:w="2202" w:type="dxa"/>
            <w:vAlign w:val="center"/>
          </w:tcPr>
          <w:p w:rsidR="00807135" w:rsidRPr="0047279F" w:rsidRDefault="00807135" w:rsidP="00EE20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r w:rsidR="00807135" w:rsidRPr="0047279F" w:rsidTr="00EE201A">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807135" w:rsidRPr="0047279F" w:rsidRDefault="00807135" w:rsidP="00EE201A">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1</w:t>
            </w:r>
            <w:r>
              <w:rPr>
                <w:rFonts w:ascii="Arial" w:eastAsia="Times New Roman" w:hAnsi="Arial" w:cs="Arial"/>
                <w:color w:val="000000"/>
                <w:sz w:val="20"/>
                <w:szCs w:val="24"/>
                <w:bdr w:val="none" w:sz="0" w:space="0" w:color="auto" w:frame="1"/>
                <w:lang w:eastAsia="es-CO"/>
              </w:rPr>
              <w:t>er</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807135" w:rsidRPr="0047279F" w:rsidRDefault="00807135" w:rsidP="00EE20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bl>
    <w:p w:rsidR="00807135" w:rsidRPr="00167B32" w:rsidRDefault="00807135" w:rsidP="007D4BBB">
      <w:pPr>
        <w:pStyle w:val="Prrafodelista"/>
        <w:jc w:val="both"/>
        <w:rPr>
          <w:rFonts w:ascii="Arial" w:hAnsi="Arial" w:cs="Arial"/>
          <w:sz w:val="24"/>
          <w:szCs w:val="24"/>
        </w:rPr>
      </w:pPr>
    </w:p>
    <w:p w:rsidR="007D4BBB" w:rsidRPr="00807135" w:rsidRDefault="007D4BBB" w:rsidP="007D4BBB">
      <w:pPr>
        <w:pStyle w:val="Prrafodelista"/>
        <w:numPr>
          <w:ilvl w:val="0"/>
          <w:numId w:val="4"/>
        </w:numPr>
        <w:spacing w:after="0" w:line="240" w:lineRule="auto"/>
        <w:jc w:val="both"/>
        <w:rPr>
          <w:rFonts w:ascii="Arial" w:hAnsi="Arial" w:cs="Arial"/>
          <w:sz w:val="24"/>
          <w:szCs w:val="24"/>
        </w:rPr>
      </w:pPr>
      <w:r w:rsidRPr="00167B32">
        <w:rPr>
          <w:rFonts w:ascii="Arial" w:hAnsi="Arial" w:cs="Arial"/>
          <w:color w:val="000000"/>
          <w:sz w:val="24"/>
          <w:szCs w:val="24"/>
        </w:rPr>
        <w:t xml:space="preserve">El MJD continúa utilizando medios digitales de manera preferente y evita la realización de impresiones, racionalizando el uso del papel y de la tinta.    </w:t>
      </w:r>
    </w:p>
    <w:p w:rsidR="00807135" w:rsidRDefault="00807135" w:rsidP="00807135">
      <w:pPr>
        <w:pStyle w:val="Prrafodelista"/>
        <w:spacing w:after="0" w:line="240" w:lineRule="auto"/>
        <w:jc w:val="both"/>
        <w:rPr>
          <w:rFonts w:ascii="Arial" w:hAnsi="Arial" w:cs="Arial"/>
          <w:color w:val="000000"/>
          <w:sz w:val="24"/>
          <w:szCs w:val="24"/>
        </w:rPr>
      </w:pPr>
    </w:p>
    <w:p w:rsidR="00807135" w:rsidRPr="00167B32" w:rsidRDefault="0005112A" w:rsidP="00807135">
      <w:pPr>
        <w:pStyle w:val="Prrafodelista"/>
        <w:spacing w:after="0" w:line="240" w:lineRule="auto"/>
        <w:jc w:val="both"/>
        <w:rPr>
          <w:rFonts w:ascii="Arial" w:hAnsi="Arial" w:cs="Arial"/>
          <w:sz w:val="24"/>
          <w:szCs w:val="24"/>
        </w:rPr>
      </w:pPr>
      <w:r>
        <w:rPr>
          <w:rFonts w:ascii="Arial" w:hAnsi="Arial" w:cs="Arial"/>
          <w:color w:val="000000"/>
          <w:sz w:val="24"/>
          <w:szCs w:val="24"/>
        </w:rPr>
        <w:t>La Entidad cumplió con la estrategia “Cero papel” (Decreto 2106 de 2019), durante el primer semestre de la</w:t>
      </w:r>
      <w:r w:rsidR="007709E9">
        <w:rPr>
          <w:rFonts w:ascii="Arial" w:hAnsi="Arial" w:cs="Arial"/>
          <w:color w:val="000000"/>
          <w:sz w:val="24"/>
          <w:szCs w:val="24"/>
        </w:rPr>
        <w:t>s</w:t>
      </w:r>
      <w:r>
        <w:rPr>
          <w:rFonts w:ascii="Arial" w:hAnsi="Arial" w:cs="Arial"/>
          <w:color w:val="000000"/>
          <w:sz w:val="24"/>
          <w:szCs w:val="24"/>
        </w:rPr>
        <w:t xml:space="preserve"> vigencia</w:t>
      </w:r>
      <w:r w:rsidR="007709E9">
        <w:rPr>
          <w:rFonts w:ascii="Arial" w:hAnsi="Arial" w:cs="Arial"/>
          <w:color w:val="000000"/>
          <w:sz w:val="24"/>
          <w:szCs w:val="24"/>
        </w:rPr>
        <w:t>s</w:t>
      </w:r>
      <w:r>
        <w:rPr>
          <w:rFonts w:ascii="Arial" w:hAnsi="Arial" w:cs="Arial"/>
          <w:color w:val="000000"/>
          <w:sz w:val="24"/>
          <w:szCs w:val="24"/>
        </w:rPr>
        <w:t xml:space="preserve"> 2021 y 2022.</w:t>
      </w:r>
    </w:p>
    <w:p w:rsidR="007D4BBB" w:rsidRPr="00CE5EE8" w:rsidRDefault="007D4BBB" w:rsidP="007D4BBB">
      <w:pPr>
        <w:spacing w:after="0" w:line="240" w:lineRule="auto"/>
        <w:jc w:val="both"/>
        <w:rPr>
          <w:rFonts w:ascii="Arial" w:hAnsi="Arial" w:cs="Arial"/>
          <w:sz w:val="24"/>
          <w:szCs w:val="24"/>
        </w:rPr>
      </w:pPr>
    </w:p>
    <w:p w:rsidR="007D4BBB" w:rsidRDefault="007D4BBB" w:rsidP="007D4BBB">
      <w:pPr>
        <w:pStyle w:val="Prrafodelista"/>
        <w:numPr>
          <w:ilvl w:val="0"/>
          <w:numId w:val="4"/>
        </w:numPr>
        <w:spacing w:after="0" w:line="240" w:lineRule="auto"/>
        <w:jc w:val="both"/>
        <w:rPr>
          <w:rFonts w:ascii="Arial" w:hAnsi="Arial" w:cs="Arial"/>
          <w:sz w:val="24"/>
          <w:szCs w:val="24"/>
        </w:rPr>
      </w:pPr>
      <w:r w:rsidRPr="003C601D">
        <w:rPr>
          <w:rFonts w:ascii="Arial" w:hAnsi="Arial" w:cs="Arial"/>
          <w:sz w:val="24"/>
          <w:szCs w:val="24"/>
        </w:rPr>
        <w:t xml:space="preserve">En aras de reducir el gasto de servicios públicos, </w:t>
      </w:r>
      <w:r>
        <w:rPr>
          <w:rFonts w:ascii="Arial" w:hAnsi="Arial" w:cs="Arial"/>
          <w:sz w:val="24"/>
          <w:szCs w:val="24"/>
        </w:rPr>
        <w:t xml:space="preserve">el MJD </w:t>
      </w:r>
      <w:r w:rsidRPr="003C601D">
        <w:rPr>
          <w:rFonts w:ascii="Arial" w:hAnsi="Arial" w:cs="Arial"/>
          <w:sz w:val="24"/>
          <w:szCs w:val="24"/>
        </w:rPr>
        <w:t>realiza</w:t>
      </w:r>
      <w:r>
        <w:rPr>
          <w:rFonts w:ascii="Arial" w:hAnsi="Arial" w:cs="Arial"/>
          <w:sz w:val="24"/>
          <w:szCs w:val="24"/>
        </w:rPr>
        <w:t xml:space="preserve"> campañas de sensibilización a los funcionarios y contratistas. Así mismo, la Entidad </w:t>
      </w:r>
      <w:r w:rsidRPr="003C601D">
        <w:rPr>
          <w:rFonts w:ascii="Arial" w:hAnsi="Arial" w:cs="Arial"/>
          <w:sz w:val="24"/>
          <w:szCs w:val="24"/>
        </w:rPr>
        <w:t xml:space="preserve">cuenta </w:t>
      </w:r>
      <w:r w:rsidRPr="003C601D">
        <w:rPr>
          <w:rStyle w:val="normaltextrun"/>
          <w:rFonts w:ascii="Arial" w:hAnsi="Arial" w:cs="Arial"/>
          <w:sz w:val="24"/>
          <w:szCs w:val="24"/>
        </w:rPr>
        <w:t>con sistemas</w:t>
      </w:r>
      <w:r>
        <w:rPr>
          <w:rStyle w:val="normaltextrun"/>
          <w:rFonts w:ascii="Arial" w:hAnsi="Arial" w:cs="Arial"/>
          <w:sz w:val="24"/>
          <w:szCs w:val="24"/>
        </w:rPr>
        <w:t xml:space="preserve"> ahorradores de agua, se ha implementado la </w:t>
      </w:r>
      <w:r>
        <w:rPr>
          <w:rFonts w:ascii="Arial" w:hAnsi="Arial" w:cs="Arial"/>
          <w:sz w:val="24"/>
          <w:szCs w:val="24"/>
        </w:rPr>
        <w:t>estrategia de apagado de luces y se tomaron medidas para reducir el consumo de servicio de telefonía fija.</w:t>
      </w:r>
    </w:p>
    <w:p w:rsidR="007D4BBB" w:rsidRPr="00F5790D" w:rsidRDefault="007D4BBB" w:rsidP="007D4BBB">
      <w:pPr>
        <w:pStyle w:val="Prrafodelista"/>
        <w:rPr>
          <w:rFonts w:ascii="Arial" w:hAnsi="Arial" w:cs="Arial"/>
          <w:sz w:val="24"/>
          <w:szCs w:val="24"/>
        </w:rPr>
      </w:pPr>
    </w:p>
    <w:p w:rsidR="007D4BBB" w:rsidRDefault="007D4BBB" w:rsidP="007D4BB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Es pertinente manifestar que, el ahorro en agua y energía eléctrica es una estrategia que no solo impacta los recursos económicos, sino adicionalmente, tiene un impacto ambiental positivo.</w:t>
      </w:r>
    </w:p>
    <w:p w:rsidR="007D4BBB" w:rsidRDefault="007D4BBB" w:rsidP="007D4BBB">
      <w:pPr>
        <w:tabs>
          <w:tab w:val="left" w:pos="429"/>
        </w:tabs>
        <w:spacing w:line="254" w:lineRule="auto"/>
        <w:ind w:right="153"/>
        <w:jc w:val="both"/>
        <w:rPr>
          <w:rFonts w:ascii="Arial" w:eastAsia="Arial" w:hAnsi="Arial" w:cs="Arial"/>
          <w:sz w:val="24"/>
          <w:lang w:val="es-ES"/>
        </w:rPr>
      </w:pPr>
    </w:p>
    <w:p w:rsidR="0081215F" w:rsidRDefault="0081215F" w:rsidP="007D4BBB">
      <w:pPr>
        <w:tabs>
          <w:tab w:val="left" w:pos="429"/>
        </w:tabs>
        <w:spacing w:line="254" w:lineRule="auto"/>
        <w:ind w:right="153"/>
        <w:jc w:val="both"/>
        <w:rPr>
          <w:rFonts w:ascii="Arial" w:eastAsia="Arial" w:hAnsi="Arial" w:cs="Arial"/>
          <w:sz w:val="24"/>
          <w:lang w:val="es-ES"/>
        </w:rPr>
      </w:pPr>
      <w:r w:rsidRPr="007D4BBB">
        <w:rPr>
          <w:rFonts w:ascii="Arial" w:eastAsia="Arial" w:hAnsi="Arial" w:cs="Arial"/>
          <w:sz w:val="24"/>
          <w:lang w:val="es-ES"/>
        </w:rPr>
        <w:t xml:space="preserve">Los rubros presupuestales que se asocian a los anteriores, gastos de funcionamiento-recursos corrientes, son los siguientes: </w:t>
      </w:r>
    </w:p>
    <w:p w:rsidR="009A2CD3" w:rsidRPr="007D4BBB" w:rsidRDefault="009A2CD3" w:rsidP="007D4BBB">
      <w:pPr>
        <w:tabs>
          <w:tab w:val="left" w:pos="429"/>
        </w:tabs>
        <w:spacing w:line="254" w:lineRule="auto"/>
        <w:ind w:right="153"/>
        <w:jc w:val="both"/>
        <w:rPr>
          <w:rFonts w:ascii="Arial" w:eastAsia="Arial" w:hAnsi="Arial" w:cs="Arial"/>
          <w:sz w:val="24"/>
          <w:lang w:val="es-ES"/>
        </w:rPr>
      </w:pPr>
    </w:p>
    <w:tbl>
      <w:tblPr>
        <w:tblW w:w="8926" w:type="dxa"/>
        <w:tblCellMar>
          <w:left w:w="70" w:type="dxa"/>
          <w:right w:w="70" w:type="dxa"/>
        </w:tblCellMar>
        <w:tblLook w:val="04A0" w:firstRow="1" w:lastRow="0" w:firstColumn="1" w:lastColumn="0" w:noHBand="0" w:noVBand="1"/>
      </w:tblPr>
      <w:tblGrid>
        <w:gridCol w:w="1838"/>
        <w:gridCol w:w="7088"/>
      </w:tblGrid>
      <w:tr w:rsidR="004B344E" w:rsidRPr="001545B6" w:rsidTr="00C81F0B">
        <w:trPr>
          <w:trHeight w:val="288"/>
          <w:tblHeader/>
        </w:trPr>
        <w:tc>
          <w:tcPr>
            <w:tcW w:w="1838" w:type="dxa"/>
            <w:tcBorders>
              <w:top w:val="single" w:sz="4" w:space="0" w:color="D3D3D3"/>
              <w:left w:val="single" w:sz="4" w:space="0" w:color="D3D3D3"/>
              <w:bottom w:val="single" w:sz="4" w:space="0" w:color="D3D3D3"/>
              <w:right w:val="single" w:sz="4" w:space="0" w:color="D3D3D3"/>
            </w:tcBorders>
            <w:shd w:val="clear" w:color="auto" w:fill="BDD6EE" w:themeFill="accent1" w:themeFillTint="66"/>
            <w:vAlign w:val="center"/>
            <w:hideMark/>
          </w:tcPr>
          <w:p w:rsidR="004B344E" w:rsidRPr="001545B6" w:rsidRDefault="004B344E" w:rsidP="000442A5">
            <w:pPr>
              <w:spacing w:after="0" w:line="240" w:lineRule="auto"/>
              <w:jc w:val="center"/>
              <w:rPr>
                <w:rFonts w:ascii="Arial" w:eastAsia="Times New Roman" w:hAnsi="Arial" w:cs="Arial"/>
                <w:b/>
                <w:bCs/>
                <w:color w:val="002060"/>
                <w:sz w:val="16"/>
                <w:szCs w:val="16"/>
                <w:lang w:eastAsia="es-CO"/>
              </w:rPr>
            </w:pPr>
            <w:r w:rsidRPr="001545B6">
              <w:rPr>
                <w:rFonts w:ascii="Arial" w:eastAsia="Times New Roman" w:hAnsi="Arial" w:cs="Arial"/>
                <w:b/>
                <w:bCs/>
                <w:color w:val="002060"/>
                <w:sz w:val="16"/>
                <w:szCs w:val="16"/>
                <w:lang w:eastAsia="es-CO"/>
              </w:rPr>
              <w:t>RUBRO</w:t>
            </w:r>
          </w:p>
        </w:tc>
        <w:tc>
          <w:tcPr>
            <w:tcW w:w="7088" w:type="dxa"/>
            <w:tcBorders>
              <w:top w:val="single" w:sz="4" w:space="0" w:color="D3D3D3"/>
              <w:left w:val="nil"/>
              <w:bottom w:val="single" w:sz="4" w:space="0" w:color="D3D3D3"/>
              <w:right w:val="single" w:sz="4" w:space="0" w:color="D3D3D3"/>
            </w:tcBorders>
            <w:shd w:val="clear" w:color="auto" w:fill="BDD6EE" w:themeFill="accent1" w:themeFillTint="66"/>
            <w:vAlign w:val="center"/>
            <w:hideMark/>
          </w:tcPr>
          <w:p w:rsidR="004B344E" w:rsidRPr="001545B6" w:rsidRDefault="004B344E" w:rsidP="000442A5">
            <w:pPr>
              <w:spacing w:after="0" w:line="240" w:lineRule="auto"/>
              <w:jc w:val="center"/>
              <w:rPr>
                <w:rFonts w:ascii="Arial" w:eastAsia="Times New Roman" w:hAnsi="Arial" w:cs="Arial"/>
                <w:b/>
                <w:bCs/>
                <w:color w:val="002060"/>
                <w:sz w:val="16"/>
                <w:szCs w:val="16"/>
                <w:lang w:eastAsia="es-CO"/>
              </w:rPr>
            </w:pPr>
            <w:r w:rsidRPr="001545B6">
              <w:rPr>
                <w:rFonts w:ascii="Arial" w:eastAsia="Times New Roman" w:hAnsi="Arial" w:cs="Arial"/>
                <w:b/>
                <w:bCs/>
                <w:color w:val="002060"/>
                <w:sz w:val="16"/>
                <w:szCs w:val="16"/>
                <w:lang w:eastAsia="es-CO"/>
              </w:rPr>
              <w:t>DESCRIPCION</w:t>
            </w:r>
          </w:p>
        </w:tc>
      </w:tr>
      <w:tr w:rsidR="003A7792"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tcPr>
          <w:p w:rsidR="003A7792" w:rsidRPr="00C81F0B" w:rsidRDefault="003A7792"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A-01-01-01-001-008</w:t>
            </w:r>
          </w:p>
        </w:tc>
        <w:tc>
          <w:tcPr>
            <w:tcW w:w="7088" w:type="dxa"/>
            <w:tcBorders>
              <w:top w:val="nil"/>
              <w:left w:val="nil"/>
              <w:bottom w:val="single" w:sz="4" w:space="0" w:color="D3D3D3"/>
              <w:right w:val="single" w:sz="4" w:space="0" w:color="D3D3D3"/>
            </w:tcBorders>
            <w:shd w:val="clear" w:color="auto" w:fill="auto"/>
            <w:vAlign w:val="center"/>
          </w:tcPr>
          <w:p w:rsidR="003A7792" w:rsidRPr="00C81F0B" w:rsidRDefault="003A7792"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HORAS EXTRAS, DOMINICALES, FESTIVOS Y RECARGOS - PLANTA DE PERSONAL PERMANENTE</w:t>
            </w:r>
          </w:p>
        </w:tc>
      </w:tr>
      <w:tr w:rsidR="003A7792"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tcPr>
          <w:p w:rsidR="003A7792" w:rsidRPr="00C81F0B" w:rsidRDefault="003A7792"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A-01-01-03-001-002</w:t>
            </w:r>
          </w:p>
        </w:tc>
        <w:tc>
          <w:tcPr>
            <w:tcW w:w="7088" w:type="dxa"/>
            <w:tcBorders>
              <w:top w:val="nil"/>
              <w:left w:val="nil"/>
              <w:bottom w:val="single" w:sz="4" w:space="0" w:color="D3D3D3"/>
              <w:right w:val="single" w:sz="4" w:space="0" w:color="D3D3D3"/>
            </w:tcBorders>
            <w:shd w:val="clear" w:color="auto" w:fill="auto"/>
            <w:vAlign w:val="center"/>
          </w:tcPr>
          <w:p w:rsidR="003A7792" w:rsidRPr="00C81F0B" w:rsidRDefault="003A7792"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INDEMNIZACIÓN POR VACACIONES - PLANTA DE PERSONAL PERMANENTE</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A-02-01-01-003-008</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MUEBLES, INSTRUMENTOS MUSICALES, ARTÍCULOS DE DEPORTE Y ANTIGÜEDADES</w:t>
            </w:r>
          </w:p>
        </w:tc>
      </w:tr>
      <w:tr w:rsidR="004B344E" w:rsidRPr="00C81F0B" w:rsidTr="00C81F0B">
        <w:trPr>
          <w:trHeight w:val="4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A-02-01-01-004-004</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MAQUINARIA PARA USOS ESPECIALES</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A-02-01-01-004-005</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MAQUINARIA DE OFICINA, CONTABILIDAD E INFORMÁTICA</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A-02-01-01-004-007</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EQUIPO Y APARATOS DE RADIO, TELEVISIÓN Y COMUNICACIONES</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A-02-01-01-004-009</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EQUIPO DE TRANSPORTE</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A-02-01-01-006-002</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PRODUCTOS DE LA PROPIEDAD INTELECTUAL</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A-02-02-01-002-008</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DOTACIÓN (PRENDAS DE VESTIR Y CALZADO)</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A-02-02-01-003-002</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PASTA O PULPA, PAPEL Y PRODUCTOS DE PAPEL; IMPRESOS Y ARTÍCULOS RELACIONADOS</w:t>
            </w:r>
          </w:p>
        </w:tc>
      </w:tr>
      <w:tr w:rsidR="004B344E" w:rsidRPr="00C81F0B" w:rsidTr="00C81F0B">
        <w:trPr>
          <w:trHeight w:val="542"/>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lastRenderedPageBreak/>
              <w:t>A-02-02-01-003-003</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PRODUCTOS DE HORNOS DE COQUE; PRODUCTOS DE REFINACIÓN DE PETRÓLEO Y COMBUSTIBLE NUCLEAR</w:t>
            </w:r>
          </w:p>
        </w:tc>
      </w:tr>
      <w:tr w:rsidR="004B344E" w:rsidRPr="00C81F0B" w:rsidTr="00C81F0B">
        <w:trPr>
          <w:trHeight w:val="542"/>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A-02-02-01-003-005</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OTROS PRODUCTOS QUÍMICOS; FIBRAS ARTIFICIALES (O FIBRAS INDUSTRIALES HECHAS POR EL HOMBRE)</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A-02-02-01-003-006</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PRODUCTOS DE CAUCHO Y PLÁSTICO</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A-02-02-01-003-008</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OTROS BIENES TRANSPORTABLES N.C.P.</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A-02-02-01-004-002</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PRODUCTOS METÁLICOS ELABORADOS (EXCEPTO MAQUINARIA Y EQUIPO)</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A-02-02-01-004-003</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MAQUINARIA PARA USO GENERAL</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A-02-02-01-004-006</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MAQUINARIA Y APARATOS ELÉCTRICOS</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A-02-02-01-004-007</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EQUIPO Y APARATOS DE RADIO, TELEVISIÓN Y COMUNICACIONES</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A-02-02-02-005-004</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CONSTRUCCIÓN</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A-02-02-02-006-003</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ALOJAMIENTO; SERVICIOS DE SUMINISTROS DE COMIDAS Y BEBIDAS</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A-02-02-02-006-004</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TRANSPORTE DE PASAJEROS</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A-02-02-02-006-006</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ALQUILER DE VEHÍCULOS DE TRANSPORTE CON OPERARIO</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A-02-02-02-006-007</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APOYO AL TRANSPORTE</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A-02-02-02-006-008</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POSTALES Y DE MENSAJERÍA</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A-02-02-02-006-009</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DISTRIBUCIÓN DE ELECTRICIDAD, GAS Y AGUA (POR CUENTA PROPIA)</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A-02-02-02-007-001</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FINANCIEROS Y SERVICIOS CONEXOS</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A-02-02-02-008-001</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INVESTIGACIÓN Y DESARROLLO</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A-02-02-02-008-002</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JURÍDICOS Y CONTABLES</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A-02-02-02-008-003</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OTROS SERVICIOS PROFESIONALES, CIENTÍFICOS Y TÉCNICOS</w:t>
            </w:r>
          </w:p>
        </w:tc>
      </w:tr>
      <w:tr w:rsidR="004B344E" w:rsidRPr="00C81F0B" w:rsidTr="00C81F0B">
        <w:trPr>
          <w:trHeight w:val="542"/>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A-02-02-02-008-004</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TELECOMUNICACIONES, TRANSMISIÓN Y SUMINISTRO DE INFORMACIÓN</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A-02-02-02-008-005</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SOPORTE</w:t>
            </w:r>
          </w:p>
        </w:tc>
      </w:tr>
      <w:tr w:rsidR="004B344E" w:rsidRPr="00C81F0B" w:rsidTr="00C81F0B">
        <w:trPr>
          <w:trHeight w:val="542"/>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A-02-02-02-008-007</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MANTENIMIENTO, REPARACIÓN E INSTALACIÓN (EXCEPTO SERVICIOS DE CONSTRUCCIÓN)</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A-02-02-02-009-002</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EDUCACIÓN</w:t>
            </w:r>
          </w:p>
        </w:tc>
      </w:tr>
      <w:tr w:rsidR="004B344E" w:rsidRPr="00C81F0B" w:rsidTr="00C81F0B">
        <w:trPr>
          <w:trHeight w:val="406"/>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A-02-02-02-009-003</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PARA EL CUIDADO DE LA SALUD HUMANA Y SERVICIOS SOCIALES</w:t>
            </w:r>
          </w:p>
        </w:tc>
      </w:tr>
      <w:tr w:rsidR="004B344E" w:rsidRPr="00C81F0B" w:rsidTr="00C81F0B">
        <w:trPr>
          <w:trHeight w:val="677"/>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A-02-02-02-009-004</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ALCANTARILLADO, RECOLECCIÓN, TRATAMIENTO Y DISPOSICIÓN DE DESECHOS Y OTROS SERVICIOS DE SANEAMIENTO AMBIENTAL</w:t>
            </w:r>
          </w:p>
        </w:tc>
      </w:tr>
      <w:tr w:rsidR="004B344E" w:rsidRPr="00C81F0B"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A-02-02-02-009-006</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SERVICIOS DE ESPARCIMIENTO, CULTURALES Y DEPORTIVOS</w:t>
            </w:r>
          </w:p>
        </w:tc>
      </w:tr>
      <w:tr w:rsidR="004B344E" w:rsidRPr="001545B6" w:rsidTr="00C81F0B">
        <w:trPr>
          <w:trHeight w:val="271"/>
        </w:trPr>
        <w:tc>
          <w:tcPr>
            <w:tcW w:w="1838" w:type="dxa"/>
            <w:tcBorders>
              <w:top w:val="nil"/>
              <w:left w:val="single" w:sz="4" w:space="0" w:color="D3D3D3"/>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A-02-02-02-010</w:t>
            </w:r>
          </w:p>
        </w:tc>
        <w:tc>
          <w:tcPr>
            <w:tcW w:w="7088" w:type="dxa"/>
            <w:tcBorders>
              <w:top w:val="nil"/>
              <w:left w:val="nil"/>
              <w:bottom w:val="single" w:sz="4" w:space="0" w:color="D3D3D3"/>
              <w:right w:val="single" w:sz="4" w:space="0" w:color="D3D3D3"/>
            </w:tcBorders>
            <w:shd w:val="clear" w:color="auto" w:fill="auto"/>
            <w:vAlign w:val="center"/>
            <w:hideMark/>
          </w:tcPr>
          <w:p w:rsidR="004B344E" w:rsidRPr="00C81F0B" w:rsidRDefault="004B344E" w:rsidP="000442A5">
            <w:pPr>
              <w:spacing w:after="0" w:line="240" w:lineRule="auto"/>
              <w:rPr>
                <w:rFonts w:ascii="Arial" w:eastAsia="Times New Roman" w:hAnsi="Arial" w:cs="Arial"/>
                <w:color w:val="000000"/>
                <w:sz w:val="16"/>
                <w:szCs w:val="16"/>
                <w:lang w:eastAsia="es-CO"/>
              </w:rPr>
            </w:pPr>
            <w:r w:rsidRPr="00C81F0B">
              <w:rPr>
                <w:rFonts w:ascii="Arial" w:eastAsia="Times New Roman" w:hAnsi="Arial" w:cs="Arial"/>
                <w:color w:val="000000"/>
                <w:sz w:val="16"/>
                <w:szCs w:val="16"/>
                <w:lang w:eastAsia="es-CO"/>
              </w:rPr>
              <w:t>VIÁTICOS DE LOS FUNCIONARIOS EN COMISIÓN</w:t>
            </w:r>
          </w:p>
        </w:tc>
      </w:tr>
    </w:tbl>
    <w:p w:rsidR="0081215F" w:rsidRPr="0081215F" w:rsidRDefault="0081215F" w:rsidP="0081215F">
      <w:pPr>
        <w:pStyle w:val="Prrafodelista"/>
        <w:tabs>
          <w:tab w:val="left" w:pos="429"/>
        </w:tabs>
        <w:spacing w:line="254" w:lineRule="auto"/>
        <w:ind w:right="153"/>
        <w:jc w:val="both"/>
        <w:rPr>
          <w:rFonts w:ascii="Arial" w:eastAsia="Arial" w:hAnsi="Arial" w:cs="Arial"/>
          <w:sz w:val="24"/>
          <w:lang w:val="es-ES"/>
        </w:rPr>
      </w:pPr>
    </w:p>
    <w:p w:rsidR="001D32EF" w:rsidRPr="00CE5EE8" w:rsidRDefault="001D32EF" w:rsidP="00CE5EE8">
      <w:pPr>
        <w:pStyle w:val="Prrafodelista"/>
        <w:spacing w:after="0" w:line="240" w:lineRule="auto"/>
        <w:jc w:val="both"/>
        <w:rPr>
          <w:rFonts w:ascii="Arial" w:hAnsi="Arial" w:cs="Arial"/>
          <w:sz w:val="24"/>
          <w:szCs w:val="24"/>
        </w:rPr>
      </w:pPr>
    </w:p>
    <w:sectPr w:rsidR="001D32EF" w:rsidRPr="00CE5EE8" w:rsidSect="001F676F">
      <w:headerReference w:type="default" r:id="rId8"/>
      <w:pgSz w:w="12240" w:h="15840"/>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EE" w:rsidRDefault="009730EE" w:rsidP="001F676F">
      <w:pPr>
        <w:spacing w:after="0" w:line="240" w:lineRule="auto"/>
      </w:pPr>
      <w:r>
        <w:separator/>
      </w:r>
    </w:p>
  </w:endnote>
  <w:endnote w:type="continuationSeparator" w:id="0">
    <w:p w:rsidR="009730EE" w:rsidRDefault="009730EE" w:rsidP="001F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EE" w:rsidRDefault="009730EE" w:rsidP="001F676F">
      <w:pPr>
        <w:spacing w:after="0" w:line="240" w:lineRule="auto"/>
      </w:pPr>
      <w:r>
        <w:separator/>
      </w:r>
    </w:p>
  </w:footnote>
  <w:footnote w:type="continuationSeparator" w:id="0">
    <w:p w:rsidR="009730EE" w:rsidRDefault="009730EE" w:rsidP="001F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6F" w:rsidRDefault="001F676F">
    <w:pPr>
      <w:pStyle w:val="Encabezado"/>
    </w:pPr>
    <w:r>
      <w:rPr>
        <w:noProof/>
        <w:lang w:eastAsia="es-CO"/>
      </w:rPr>
      <w:drawing>
        <wp:inline distT="0" distB="0" distL="0" distR="0">
          <wp:extent cx="2321819"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959" cy="597827"/>
                  </a:xfrm>
                  <a:prstGeom prst="rect">
                    <a:avLst/>
                  </a:prstGeom>
                  <a:noFill/>
                  <a:ln>
                    <a:noFill/>
                  </a:ln>
                </pic:spPr>
              </pic:pic>
            </a:graphicData>
          </a:graphic>
        </wp:inline>
      </w:drawing>
    </w:r>
  </w:p>
  <w:p w:rsidR="001F676F" w:rsidRDefault="001F67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1F9B"/>
    <w:multiLevelType w:val="hybridMultilevel"/>
    <w:tmpl w:val="D02803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1E1D2E"/>
    <w:multiLevelType w:val="hybridMultilevel"/>
    <w:tmpl w:val="355672EE"/>
    <w:lvl w:ilvl="0" w:tplc="875A32E0">
      <w:start w:val="7"/>
      <w:numFmt w:val="bullet"/>
      <w:lvlText w:val="-"/>
      <w:lvlJc w:val="left"/>
      <w:pPr>
        <w:ind w:left="720" w:hanging="360"/>
      </w:pPr>
      <w:rPr>
        <w:rFonts w:ascii="Calibri" w:eastAsia="Times New Roman" w:hAnsi="Calibri"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575304"/>
    <w:multiLevelType w:val="hybridMultilevel"/>
    <w:tmpl w:val="FE04A7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3D11E1B"/>
    <w:multiLevelType w:val="hybridMultilevel"/>
    <w:tmpl w:val="84701E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C76785"/>
    <w:multiLevelType w:val="hybridMultilevel"/>
    <w:tmpl w:val="6D92E90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60"/>
    <w:rsid w:val="00012B53"/>
    <w:rsid w:val="00012ECD"/>
    <w:rsid w:val="00020EF2"/>
    <w:rsid w:val="00037774"/>
    <w:rsid w:val="0005112A"/>
    <w:rsid w:val="0006030E"/>
    <w:rsid w:val="0007232A"/>
    <w:rsid w:val="00082011"/>
    <w:rsid w:val="000B3415"/>
    <w:rsid w:val="001C6E60"/>
    <w:rsid w:val="001D32EF"/>
    <w:rsid w:val="001F676F"/>
    <w:rsid w:val="002470DB"/>
    <w:rsid w:val="00276231"/>
    <w:rsid w:val="003206AD"/>
    <w:rsid w:val="00353FAE"/>
    <w:rsid w:val="003772F6"/>
    <w:rsid w:val="003A7792"/>
    <w:rsid w:val="003C601D"/>
    <w:rsid w:val="003D7B25"/>
    <w:rsid w:val="003F5A1A"/>
    <w:rsid w:val="0047279F"/>
    <w:rsid w:val="004A1955"/>
    <w:rsid w:val="004B344E"/>
    <w:rsid w:val="004F4F8A"/>
    <w:rsid w:val="00524988"/>
    <w:rsid w:val="00571000"/>
    <w:rsid w:val="005B2636"/>
    <w:rsid w:val="005D4257"/>
    <w:rsid w:val="006A5C66"/>
    <w:rsid w:val="007262AB"/>
    <w:rsid w:val="0074408F"/>
    <w:rsid w:val="007709E9"/>
    <w:rsid w:val="00783F58"/>
    <w:rsid w:val="007D4BBB"/>
    <w:rsid w:val="007F1D8A"/>
    <w:rsid w:val="00807135"/>
    <w:rsid w:val="0081215F"/>
    <w:rsid w:val="00842624"/>
    <w:rsid w:val="008C097E"/>
    <w:rsid w:val="008D11CF"/>
    <w:rsid w:val="009730EE"/>
    <w:rsid w:val="009759EA"/>
    <w:rsid w:val="009A2CD3"/>
    <w:rsid w:val="009F28F3"/>
    <w:rsid w:val="00A25DA8"/>
    <w:rsid w:val="00B246D7"/>
    <w:rsid w:val="00C473D5"/>
    <w:rsid w:val="00C81F0B"/>
    <w:rsid w:val="00CB0AA2"/>
    <w:rsid w:val="00CE4866"/>
    <w:rsid w:val="00CE5EE8"/>
    <w:rsid w:val="00D270DB"/>
    <w:rsid w:val="00D9790F"/>
    <w:rsid w:val="00DC6C97"/>
    <w:rsid w:val="00E143E5"/>
    <w:rsid w:val="00E630A6"/>
    <w:rsid w:val="00E84674"/>
    <w:rsid w:val="00E94CB2"/>
    <w:rsid w:val="00EB5E9D"/>
    <w:rsid w:val="00EC5B9F"/>
    <w:rsid w:val="00EE48C6"/>
    <w:rsid w:val="00F263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B413-BF01-487B-B53B-E3D403A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603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6030E"/>
  </w:style>
  <w:style w:type="character" w:customStyle="1" w:styleId="eop">
    <w:name w:val="eop"/>
    <w:basedOn w:val="Fuentedeprrafopredeter"/>
    <w:rsid w:val="0006030E"/>
  </w:style>
  <w:style w:type="paragraph" w:styleId="Prrafodelista">
    <w:name w:val="List Paragraph"/>
    <w:basedOn w:val="Normal"/>
    <w:uiPriority w:val="34"/>
    <w:qFormat/>
    <w:rsid w:val="00CB0AA2"/>
    <w:pPr>
      <w:ind w:left="720"/>
      <w:contextualSpacing/>
    </w:pPr>
  </w:style>
  <w:style w:type="paragraph" w:styleId="Encabezado">
    <w:name w:val="header"/>
    <w:basedOn w:val="Normal"/>
    <w:link w:val="EncabezadoCar"/>
    <w:uiPriority w:val="99"/>
    <w:unhideWhenUsed/>
    <w:rsid w:val="001F6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76F"/>
  </w:style>
  <w:style w:type="paragraph" w:styleId="Piedepgina">
    <w:name w:val="footer"/>
    <w:basedOn w:val="Normal"/>
    <w:link w:val="PiedepginaCar"/>
    <w:uiPriority w:val="99"/>
    <w:unhideWhenUsed/>
    <w:rsid w:val="001F6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76F"/>
  </w:style>
  <w:style w:type="table" w:styleId="Tabladecuadrcula1clara-nfasis5">
    <w:name w:val="Grid Table 1 Light Accent 5"/>
    <w:basedOn w:val="Tablanormal"/>
    <w:uiPriority w:val="46"/>
    <w:rsid w:val="007262A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6concolores-nfasis1">
    <w:name w:val="Grid Table 6 Colorful Accent 1"/>
    <w:basedOn w:val="Tablanormal"/>
    <w:uiPriority w:val="51"/>
    <w:rsid w:val="007262AB"/>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7262A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5">
    <w:name w:val="Grid Table 5 Dark Accent 5"/>
    <w:basedOn w:val="Tablanormal"/>
    <w:uiPriority w:val="50"/>
    <w:rsid w:val="007262A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5">
    <w:name w:val="Grid Table 4 Accent 5"/>
    <w:basedOn w:val="Tablanormal"/>
    <w:uiPriority w:val="49"/>
    <w:rsid w:val="007262AB"/>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7262A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6868">
      <w:bodyDiv w:val="1"/>
      <w:marLeft w:val="0"/>
      <w:marRight w:val="0"/>
      <w:marTop w:val="0"/>
      <w:marBottom w:val="0"/>
      <w:divBdr>
        <w:top w:val="none" w:sz="0" w:space="0" w:color="auto"/>
        <w:left w:val="none" w:sz="0" w:space="0" w:color="auto"/>
        <w:bottom w:val="none" w:sz="0" w:space="0" w:color="auto"/>
        <w:right w:val="none" w:sz="0" w:space="0" w:color="auto"/>
      </w:divBdr>
      <w:divsChild>
        <w:div w:id="785585905">
          <w:marLeft w:val="0"/>
          <w:marRight w:val="0"/>
          <w:marTop w:val="0"/>
          <w:marBottom w:val="0"/>
          <w:divBdr>
            <w:top w:val="none" w:sz="0" w:space="0" w:color="auto"/>
            <w:left w:val="none" w:sz="0" w:space="0" w:color="auto"/>
            <w:bottom w:val="none" w:sz="0" w:space="0" w:color="auto"/>
            <w:right w:val="none" w:sz="0" w:space="0" w:color="auto"/>
          </w:divBdr>
        </w:div>
        <w:div w:id="658315140">
          <w:marLeft w:val="0"/>
          <w:marRight w:val="0"/>
          <w:marTop w:val="0"/>
          <w:marBottom w:val="0"/>
          <w:divBdr>
            <w:top w:val="none" w:sz="0" w:space="0" w:color="auto"/>
            <w:left w:val="none" w:sz="0" w:space="0" w:color="auto"/>
            <w:bottom w:val="none" w:sz="0" w:space="0" w:color="auto"/>
            <w:right w:val="none" w:sz="0" w:space="0" w:color="auto"/>
          </w:divBdr>
        </w:div>
      </w:divsChild>
    </w:div>
    <w:div w:id="1198003660">
      <w:bodyDiv w:val="1"/>
      <w:marLeft w:val="0"/>
      <w:marRight w:val="0"/>
      <w:marTop w:val="0"/>
      <w:marBottom w:val="0"/>
      <w:divBdr>
        <w:top w:val="none" w:sz="0" w:space="0" w:color="auto"/>
        <w:left w:val="none" w:sz="0" w:space="0" w:color="auto"/>
        <w:bottom w:val="none" w:sz="0" w:space="0" w:color="auto"/>
        <w:right w:val="none" w:sz="0" w:space="0" w:color="auto"/>
      </w:divBdr>
    </w:div>
    <w:div w:id="1813711515">
      <w:bodyDiv w:val="1"/>
      <w:marLeft w:val="0"/>
      <w:marRight w:val="0"/>
      <w:marTop w:val="0"/>
      <w:marBottom w:val="0"/>
      <w:divBdr>
        <w:top w:val="none" w:sz="0" w:space="0" w:color="auto"/>
        <w:left w:val="none" w:sz="0" w:space="0" w:color="auto"/>
        <w:bottom w:val="none" w:sz="0" w:space="0" w:color="auto"/>
        <w:right w:val="none" w:sz="0" w:space="0" w:color="auto"/>
      </w:divBdr>
      <w:divsChild>
        <w:div w:id="2033535845">
          <w:marLeft w:val="0"/>
          <w:marRight w:val="0"/>
          <w:marTop w:val="0"/>
          <w:marBottom w:val="0"/>
          <w:divBdr>
            <w:top w:val="none" w:sz="0" w:space="0" w:color="auto"/>
            <w:left w:val="none" w:sz="0" w:space="0" w:color="auto"/>
            <w:bottom w:val="none" w:sz="0" w:space="0" w:color="auto"/>
            <w:right w:val="none" w:sz="0" w:space="0" w:color="auto"/>
          </w:divBdr>
        </w:div>
        <w:div w:id="1854801314">
          <w:marLeft w:val="0"/>
          <w:marRight w:val="0"/>
          <w:marTop w:val="0"/>
          <w:marBottom w:val="0"/>
          <w:divBdr>
            <w:top w:val="none" w:sz="0" w:space="0" w:color="auto"/>
            <w:left w:val="none" w:sz="0" w:space="0" w:color="auto"/>
            <w:bottom w:val="none" w:sz="0" w:space="0" w:color="auto"/>
            <w:right w:val="none" w:sz="0" w:space="0" w:color="auto"/>
          </w:divBdr>
        </w:div>
        <w:div w:id="47009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0FBA7F62C14F041A0FB3EFC7596E368" ma:contentTypeVersion="1" ma:contentTypeDescription="Crear nuevo documento." ma:contentTypeScope="" ma:versionID="348b18b5fc41e64fad00b1cd561ffcb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2TV4CCKVFCYA-1167877901-860</_dlc_DocId>
    <_dlc_DocIdUrl xmlns="81cc8fc0-8d1e-4295-8f37-5d076116407c">
      <Url>https://www.minjusticia.gov.co/ministerio/_layouts/15/DocIdRedir.aspx?ID=2TV4CCKVFCYA-1167877901-860</Url>
      <Description>2TV4CCKVFCYA-1167877901-860</Description>
    </_dlc_DocIdUrl>
  </documentManagement>
</p:properties>
</file>

<file path=customXml/itemProps1.xml><?xml version="1.0" encoding="utf-8"?>
<ds:datastoreItem xmlns:ds="http://schemas.openxmlformats.org/officeDocument/2006/customXml" ds:itemID="{376DE2F5-0259-46B3-9D2E-AE3DAE13AE43}"/>
</file>

<file path=customXml/itemProps2.xml><?xml version="1.0" encoding="utf-8"?>
<ds:datastoreItem xmlns:ds="http://schemas.openxmlformats.org/officeDocument/2006/customXml" ds:itemID="{9EE10550-A74B-4696-983F-A8A0B996E4CA}"/>
</file>

<file path=customXml/itemProps3.xml><?xml version="1.0" encoding="utf-8"?>
<ds:datastoreItem xmlns:ds="http://schemas.openxmlformats.org/officeDocument/2006/customXml" ds:itemID="{4F856750-E79F-4A11-81CC-1733027CD65F}"/>
</file>

<file path=customXml/itemProps4.xml><?xml version="1.0" encoding="utf-8"?>
<ds:datastoreItem xmlns:ds="http://schemas.openxmlformats.org/officeDocument/2006/customXml" ds:itemID="{680A208A-F0FD-4205-B1F7-7FA4E302ECB4}"/>
</file>

<file path=customXml/itemProps5.xml><?xml version="1.0" encoding="utf-8"?>
<ds:datastoreItem xmlns:ds="http://schemas.openxmlformats.org/officeDocument/2006/customXml" ds:itemID="{2A635565-6D41-444A-9B2D-C6E46FE0F024}"/>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steven Castañeda</dc:creator>
  <cp:keywords/>
  <dc:description/>
  <cp:lastModifiedBy>BELKIS YORGETH RONCANCIO ENCISO</cp:lastModifiedBy>
  <cp:revision>2</cp:revision>
  <dcterms:created xsi:type="dcterms:W3CDTF">2022-08-23T15:13:00Z</dcterms:created>
  <dcterms:modified xsi:type="dcterms:W3CDTF">2022-08-23T15:13:00Z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0x01010020FBA7F62C14F041A0FB3EFC7596E368</vt:lpwstr>
  </property>
  <property fmtid="{D5CDD505-2E9C-101B-9397-08002B2CF9AE}" pid="3" name="_dlc_DocIdItemGuid">
    <vt:lpwstr>cbe145b3-8ecb-4cdb-a295-7235f365fa43</vt:lpwstr>
  </property>
</Properties>
</file>